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 Khả năng tư duy theo hệ thống  </w:t>
      </w:r>
    </w:p>
    <w:p>
      <w:pPr>
        <w:pStyle w:val="Normal"/>
      </w:pPr>
      <w:r>
        <w:t xml:space="preserve"> Sinh viên được phát triển kh ả năng tư duy chỉnh thể, logic, phân tích đa chiều.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