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2.3.2. Kỹ năng nghề nghiệp chuyên ngành  </w:t>
      </w:r>
    </w:p>
    <w:p>
      <w:pPr>
        <w:pStyle w:val="ListParagraph"/>
      </w:pPr>
      <w:r>
        <w:t xml:space="preserve">Tiến hành thu thập dữ liệu, các thông tin liên quan cho việc xây dựng các hệ thống thông minh;  </w:t>
      </w:r>
    </w:p>
    <w:p>
      <w:pPr>
        <w:pStyle w:val="ListParagraph"/>
      </w:pPr>
      <w:r>
        <w:t xml:space="preserve">Tiến hành tiền xử lý dữ liệu, làm sạch dữ liệu, và trực qu an hóa dữ liệu.  </w:t>
      </w:r>
    </w:p>
    <w:p>
      <w:pPr>
        <w:pStyle w:val="ListParagraph"/>
      </w:pPr>
      <w:r>
        <w:t xml:space="preserve">Lựa chọn đặc trưng, xây dựng và tối ưu các mô hình phân tích dữ liệu sử dụng các kỹ thuật học máy.  </w:t>
      </w:r>
    </w:p>
    <w:p>
      <w:pPr>
        <w:pStyle w:val="ListParagraph"/>
      </w:pPr>
      <w:r>
        <w:t xml:space="preserve">Đánh giá tính hiệu quả của các mô hình phân tích dữ liệu.  </w:t>
      </w:r>
    </w:p>
    <w:p>
      <w:pPr>
        <w:pStyle w:val="ListParagraph"/>
      </w:pPr>
      <w:r>
        <w:t xml:space="preserve">Áp dụng các tri thức đã học để phát triển và giải quyết các vấn đề chính trong các dự án về phân tích dữ liệu.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