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 Trình độ ngoại ngữ và tin học  </w:t>
      </w:r>
    </w:p>
    <w:p>
      <w:pPr>
        <w:pStyle w:val="ListParagraph"/>
      </w:pPr>
      <w:r>
        <w:t xml:space="preserve">PO11.  Khả năng sử dụng tiếng Anh trong các hoạt động liên quan đến nghề nghiệp được đào tạo.  </w:t>
      </w:r>
    </w:p>
    <w:p>
      <w:pPr>
        <w:pStyle w:val="ListParagraph"/>
      </w:pPr>
      <w:r>
        <w:t xml:space="preserve">PO12. Khả năng sử dụng tốt các công cụ tin học và phần mềm cơ bản và chuyên môn phục vụ cho công việc, học tập và nghiên cứu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