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3.4. Năng lực tự chủ và trách nhiệm  </w:t>
      </w:r>
    </w:p>
    <w:p>
      <w:pPr>
        <w:pStyle w:val="Normal"/>
      </w:pPr>
      <w:r>
        <w:t xml:space="preserve">Sinh viên tốt nghiệp chương trình đào tạo cử nhân ngành Marketing của Học viện sẽ đạt các chuẩn đầu ra về năng lực tự chủ, trách nhiệm và hành vi đạo đức như sau:  </w:t>
      </w:r>
    </w:p>
    <w:p>
      <w:pPr>
        <w:pStyle w:val="ListParagraph"/>
      </w:pPr>
      <w:r>
        <w:t xml:space="preserve">LO23. Có khả năng tự học tập, nghiên cứu, tích lũy kinh nghiệm để thích nghi với môi trường làm việc năng động . </w:t>
      </w:r>
    </w:p>
    <w:p>
      <w:pPr>
        <w:pStyle w:val="ListParagraph"/>
      </w:pPr>
      <w:r>
        <w:t>LO24. Có phẩm chất đạo đức, ý thức nghề nghiệp, trách nhiệm công dân, tôn trọng và chấp nhận pháp luật, có ý thức tổ chức kỷ luật và tinh thần hợp tác.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