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2.2.2.  Về Kĩ năng  </w:t>
      </w:r>
    </w:p>
    <w:p>
      <w:pPr>
        <w:pStyle w:val="ListParagraph"/>
      </w:pPr>
      <w:r>
        <w:t xml:space="preserve">PO5: Có kỹ năng xây dựng và phát triển quan hệ giữa cá nhân, tổ chức với các nhóm công chúng và giới truyền thông; ứng dụng và phát triển các sản phẩm quảng cáo đa phương tiện; viết và biên tập các sản phẩm truyền thông đa phương tiện. Có kỹ năng quản lý và tư vấn các dự án truyền thông đa phương tiện.  </w:t>
      </w:r>
    </w:p>
    <w:p>
      <w:pPr>
        <w:pStyle w:val="ListParagraph"/>
      </w:pPr>
      <w:r>
        <w:t xml:space="preserve">PO6: Có kỹ năng làm việc khoa học và chuyên nghiệp, tư duy hệ thống và tư duy phân tích, khả năng trình bày, khả năng giao tiếp và làm việc nhóm hiệu quả, có khả năng hội nhập môi trường quốc tế.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