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3.3. Chuẩn về Năng lực tự chủ và trách nhiệm  </w:t>
      </w:r>
    </w:p>
    <w:p>
      <w:pPr>
        <w:pStyle w:val="ListParagraph"/>
      </w:pPr>
      <w:r>
        <w:t xml:space="preserve">LO12: Có bản lĩnh chính trị vững vàng; Kiên định đường lối cách mạng và chủ trương, chính sách của Nhà nước; Tuyệt đối trung thành với Tổ quốc và nhân dân; Chấp hành và thượng tôn pháp luật; Có phẩm chất đạo đức, ý thức nghề nghiệp, trách nhiệm với xã hội;  </w:t>
      </w:r>
    </w:p>
    <w:p>
      <w:pPr>
        <w:pStyle w:val="ListParagraph"/>
      </w:pPr>
      <w:r>
        <w:t xml:space="preserve">LO13: Có khả năng thích nghi, tự học và tích lũy kinh nghi ệm để nâng cao trình độ chuyên môn nghiệp vụ; Chủ động và hợp tác trong công việc.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