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Đối với Phương thức 1 - Xét tuyển tài năng</w:t>
      </w:r>
    </w:p>
    <w:p>
      <w:pPr>
        <w:pStyle w:val="NormalWeb"/>
      </w:pPr>
      <w:r>
        <w:t>Ngoài các yêu cầu theo quy định chung ở mục a) thì thí sinh cần có thêm một trong các điều kiện như sau:</w:t>
      </w:r>
    </w:p>
    <w:p>
      <w:pPr>
        <w:pStyle w:val="NormalWeb"/>
      </w:pPr>
      <w:r>
        <w:t>(1) Xét tuyển thẳng và ưu tiên xét tuyển: thí sinh là thành viên đội tuyển Olympic quốc tế hoặc đoạt giải Quốc gia, Quốc tế theo Quy chế tuyển sinh hiện hành của Bộ Giáo dục và Đào tạo và của Học viện (có thông báo chi tiết riêng).</w:t>
      </w:r>
    </w:p>
    <w:p>
      <w:pPr>
        <w:pStyle w:val="NormalWeb"/>
      </w:pPr>
      <w:r>
        <w:t>(2) Xét tuyển dựa vào hồ sơ năng lực: thí sinh cần có thêm một trong các điều kiện sau đây:</w:t>
      </w:r>
    </w:p>
    <w:p>
      <w:pPr>
        <w:pStyle w:val="Normal"/>
      </w:pPr>
      <w:r>
        <w:t>Thí sinh đoạt giải Khuyến khích trong kỳ thi chọn học sinh giỏi quốc gia hoặc đã tham gia kỳ thi chọn học sinh giỏi quốc gia hoặc đoạt giải Nhất, Nhì, Ba, Khuyến khích trong kỳ thi chọn học sinh giỏi cấp Tỉnh, Thành phố trực thuộc Trung ương (TW) các môn Toán, Lý, Hóa, Tin học và có kết quả điểm trung bình chung học tập lớp 10, 11, 12 hoặc học kỳ 1 lớp 12 (nếu chưa có kết quả năm học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hoặc học kỳ 1 lớp 12 (nếu chưa có kết quả năm học lớp 12) đạt từ 7,5 trở lên và có hạnh kiểm Khá trở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