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1.15. Tài chính</w:t>
      </w:r>
    </w:p>
    <w:p>
      <w:pPr>
        <w:pStyle w:val="ListParagraph"/>
      </w:pPr>
      <w:r>
        <w:t>Tổng nguồn thu hợp pháp/năm là 430.000.000.000 đồng</w:t>
      </w:r>
    </w:p>
    <w:p>
      <w:pPr>
        <w:pStyle w:val="ListParagraph"/>
      </w:pPr>
      <w:r>
        <w:t>Tổng chi phí đào tạo trung bình 1 sinh viên/năm của năm liền trước năm tuyển sinh là khoảng 27,5 triệu đồng/sinh viên/năm.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