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Chỉ tiêu tuyển sinh theo các Phương thức xét tuyển</w:t>
      </w:r>
    </w:p>
    <w:p>
      <w:pPr>
        <w:pStyle w:val="Normal"/>
      </w:pPr>
      <w:r>
        <w:t>1.Xét tuyển tài năng, chỉ tiêu (dự kiến) 10 %, ghi chú tuyển thẳng theo quy chế Bộ GD&amp;ĐT không giới hạn chỉ tiêu</w:t>
      </w:r>
    </w:p>
    <w:p>
      <w:pPr>
        <w:pStyle w:val="Normal"/>
      </w:pPr>
      <w:r>
        <w:t>2.Xét tuyển dựa vào kết quả đgnl, đgtd, chỉ tiêu (dự kiến) 15%</w:t>
      </w:r>
    </w:p>
    <w:p>
      <w:pPr>
        <w:pStyle w:val="Normal"/>
      </w:pPr>
      <w:r>
        <w:t>3.Xét tuyển kết hợp, chỉ tiêu (dự kiến) 25%</w:t>
      </w:r>
    </w:p>
    <w:p>
      <w:pPr>
        <w:pStyle w:val="Normal"/>
      </w:pPr>
      <w:r>
        <w:t>4. Xét tuyển dựa vào kết quả thi tốt nghiệp THPT năm 2024, chỉ tiêu (dự kiến) 50%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