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Học bổng khuyến khích</w:t>
      </w:r>
    </w:p>
    <w:p>
      <w:pPr>
        <w:pStyle w:val="NormalWeb"/>
      </w:pPr>
      <w:r>
        <w:t>Học viện tiếp tục duy trì chính sách học bổng với tổng giá trị học bổng trung bình khoảng 8 tỷ đồng/năm cho các thí sinh đạt thành tích cao (đạt giải học sinh giỏi cấp quốc tế, cấp quốc gia, cấp Tỉnh/Thành phố trực thuộc TW) hoặc đạt kết quả cao trong kỳ thi tốt nghiệp THPT nhưng chưa đủ để nhận học bổng đặc biệt với 2 mức: mức 1 miễn 100% và mức 2 miễn 50% học phí trong năm học thứ nhất.</w:t>
      </w:r>
    </w:p>
    <w:p>
      <w:pPr>
        <w:pStyle w:val="Normal"/>
      </w:pPr>
      <w:r>
        <w:t>Ghi chú: Thí sinh chỉ được xét và cấp một Loại học bổng trong chính sách học bổng nêu trên; xét cấp học bổng thực hiện xét từ trên xuống cho đến hết số suất học bổng.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