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Phạm vi tuyển sinh (Địa lý)</w:t>
      </w:r>
    </w:p>
    <w:p>
      <w:pPr>
        <w:pStyle w:val="Normal"/>
      </w:pPr>
      <w:r>
        <w:t>Học viện tuyển sinh trên phạm vi cả nước (thí sinh đăng ký xét tuyển vào Cơ sở đào tạo nào thì sẽ theo học tại Cơ sở đó – BVH hoặc BVS).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