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Quy đổi điểm Chứng chỉ tiếng Anh quốc tế</w:t>
      </w:r>
    </w:p>
    <w:p>
      <w:pPr>
        <w:pStyle w:val="BodyText"/>
      </w:pPr>
      <w:r>
        <w:t>Đối với Phương thức xét tuyển kết hợp, thí sinh được phép quy đổi điểm môn tiếng Anh trong tổ hợp xét tuyển khi có Chứng chỉ tiếng Anh quốc tế. Cụ thể:</w:t>
      </w:r>
    </w:p>
    <w:p>
      <w:pPr>
        <w:pStyle w:val="Heading6"/>
      </w:pPr>
      <w:r>
        <w:t>Quy đổi điểm Chứng chỉ tiếng Anh quốc tế  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6"/>
      </w:pPr>
      <w:r>
        <w:t>Quy đổi điểm Chứng chỉ tiếng Anh quốc tế  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6"/>
      </w:pPr>
      <w:r>
        <w:t>Quy đổi điểm Chứng chỉ tiếng Anh quốc tế  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