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w:t>
      </w:r>
    </w:p>
    <w:p>
      <w:pPr>
        <w:pStyle w:val="Normal"/>
      </w:pPr>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