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 Có thể tiếp tục học tiếp lên trình độ sau đại học tại  các cơ sở giáo dục đại học trong nước và nước ngoài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