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2.2.3 Về Thái độ  (Attitude ) </w:t>
      </w:r>
    </w:p>
    <w:p>
      <w:pPr>
        <w:pStyle w:val="Normal"/>
      </w:pPr>
      <w:r>
        <w:t xml:space="preserve">PO7 : Hiểu biết về các giá trị đạo đức nghề nghiệp, ý thức về những vấn đề đương đại, hiểu rõ vai trò của các giải pháp kỹ thuật trong bối cảnh kinh tế, môi trường, xã hội toàn cầu và trong bối cảnh riêng của đất nước.  </w:t>
      </w:r>
    </w:p>
    <w:p>
      <w:pPr>
        <w:pStyle w:val="Normal"/>
      </w:pPr>
      <w:r>
        <w:t xml:space="preserve">(Be aware of professional and societal r esponsibilities, and committed to ethical actions)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