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Normal"/>
      </w:pPr>
      <w:r>
        <w:t xml:space="preserve"> Có thể tiếp tục học tiếp lên trình độ sau đại học ở trong nước và nước ngoài (Continue to study to graduate level abroad)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