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2.2.3. Thái độ  </w:t>
      </w:r>
    </w:p>
    <w:p>
      <w:pPr>
        <w:pStyle w:val="Normal"/>
      </w:pPr>
      <w:r>
        <w:t xml:space="preserve">PO11: Có tác phong, đạo đức nghề; Có ý thức kỷ luật tốt, tinh thần trách nhiệm cao, chuyên nghiệp, say mê nghề nghiệp , có ý thức và năng lực hợp tác trong công việc.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