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121 tín chỉ (không bao gồm Giáo dục thể chất, Giáo dục quốc phòng và Kỹ năng mềm)  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>Khối kiến thức giáo dục đại cương  41 (tín chỉ)</w:t>
      </w:r>
    </w:p>
    <w:p>
      <w:pPr>
        <w:pStyle w:val="ListParagraph"/>
      </w:pPr>
      <w:r>
        <w:t>Khối kiến thức chung  25 (tín chỉ)</w:t>
      </w:r>
    </w:p>
    <w:p>
      <w:pPr>
        <w:pStyle w:val="ListParagraph"/>
      </w:pPr>
      <w:r>
        <w:t>Lý luận chính trị  11 (tín chỉ)</w:t>
      </w:r>
    </w:p>
    <w:p>
      <w:pPr>
        <w:pStyle w:val="ListParagraph"/>
      </w:pPr>
      <w:r>
        <w:t>Tiếng Anh 14 (tín chỉ)</w:t>
      </w:r>
    </w:p>
    <w:p>
      <w:pPr>
        <w:pStyle w:val="ListParagraph"/>
      </w:pPr>
      <w:r>
        <w:t>Khối kiến thức khoa học tự nhiên và xã hội  16 (tín chỉ)</w:t>
      </w:r>
    </w:p>
    <w:p>
      <w:pPr>
        <w:pStyle w:val="ListParagraph"/>
      </w:pPr>
      <w:r>
        <w:t>Khối kiến thức giáo dục chuyên nghiệp  68 (tín chỉ)</w:t>
      </w:r>
    </w:p>
    <w:p>
      <w:pPr>
        <w:pStyle w:val="ListParagraph"/>
      </w:pPr>
      <w:r>
        <w:t>Khối kiến thức cơ sở (nhóm ngành và ngành)  44 (tín chỉ)</w:t>
      </w:r>
    </w:p>
    <w:p>
      <w:pPr>
        <w:pStyle w:val="ListParagraph"/>
      </w:pPr>
      <w:r>
        <w:t>Khối kiến thức chuyên ngành  24 (tín chỉ)</w:t>
      </w:r>
    </w:p>
    <w:p>
      <w:pPr>
        <w:pStyle w:val="ListParagraph"/>
      </w:pPr>
      <w:r>
        <w:t>Thực tập và Tốt nghiệp  12 (tín chỉ)</w:t>
      </w:r>
    </w:p>
    <w:p>
      <w:pPr>
        <w:pStyle w:val="Normal"/>
      </w:pPr>
      <w:r>
        <w:t xml:space="preserve"> Tổng cộng  121  (tín chỉ)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