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819"/>
        <w:gridCol w:w="4819"/>
      </w:tblGrid>
      <w:tr>
        <w:tc>
          <w:tcPr>
            <w:tcW w:type="dxa" w:w="4819"/>
          </w:tcPr>
          <w:p>
            <w:pPr>
              <w:spacing w:before="0" w:after="0" w:lineRule="auto" w:line="276"/>
              <w:jc w:val="center"/>
            </w:pPr>
            <w:r/>
            <w:r>
              <w:rPr>
                <w:rFonts w:ascii="Times New Roman" w:hAnsi="Times New Roman" w:eastAsia="Times New Roman"/>
                <w:b/>
                <w:i w:val="0"/>
                <w:color w:val="000000"/>
                <w:sz w:val="22"/>
              </w:rPr>
              <w:t>NGÂN HÀNG TMCP ĐẦU TƯ</w:t>
              <w:br/>
            </w:r>
            <w:r>
              <w:rPr>
                <w:rFonts w:ascii="Times New Roman" w:hAnsi="Times New Roman" w:eastAsia="Times New Roman"/>
                <w:b/>
                <w:i w:val="0"/>
                <w:color w:val="000000"/>
                <w:sz w:val="22"/>
              </w:rPr>
              <w:t>VÀ PHÁT TRIỂN VIỆT NAM</w:t>
              <w:br/>
            </w:r>
            <w:r>
              <w:rPr>
                <w:rFonts w:ascii="Times New Roman" w:hAnsi="Times New Roman" w:eastAsia="Times New Roman"/>
                <w:b/>
                <w:i w:val="0"/>
                <w:color w:val="000000"/>
                <w:sz w:val="22"/>
              </w:rPr>
              <w:t>CHI NHÁNH ĐÔNG ĐỒNG NAI</w:t>
            </w:r>
          </w:p>
          <w:p>
            <w:pPr>
              <w:spacing w:before="160" w:after="0" w:lineRule="auto" w:line="276"/>
              <w:jc w:val="center"/>
            </w:pPr>
            <w:r>
              <w:rPr>
                <w:rFonts w:ascii="Times New Roman" w:hAnsi="Times New Roman" w:eastAsia="Times New Roman"/>
                <w:b w:val="0"/>
                <w:i w:val="0"/>
                <w:color w:val="000000"/>
                <w:sz w:val="22"/>
              </w:rPr>
              <w:t>Số: 999/TB-BIDV.ĐĐN</w:t>
            </w:r>
          </w:p>
          <w:p>
            <w:pPr>
              <w:spacing w:before="0" w:after="0" w:lineRule="auto" w:line="264"/>
              <w:jc w:val="center"/>
            </w:pPr>
            <w:r>
              <w:rPr>
                <w:rFonts w:ascii="Times New Roman" w:hAnsi="Times New Roman" w:eastAsia="Times New Roman"/>
                <w:b w:val="0"/>
                <w:i/>
                <w:color w:val="000000"/>
                <w:sz w:val="20"/>
              </w:rPr>
              <w:t>(V/v Thông báo nợ quá hạn đối với khách hàng ông/bà Hoang Quang Sau)</w:t>
            </w:r>
          </w:p>
        </w:tc>
        <w:tc>
          <w:tcPr>
            <w:tcW w:type="dxa" w:w="4819"/>
          </w:tcPr>
          <w:p>
            <w:pPr>
              <w:spacing w:before="0" w:after="0" w:lineRule="auto" w:line="276"/>
              <w:jc w:val="center"/>
            </w:pPr>
            <w:r/>
            <w:r>
              <w:rPr>
                <w:rFonts w:ascii="Times New Roman" w:hAnsi="Times New Roman" w:eastAsia="Times New Roman"/>
                <w:b/>
                <w:i w:val="0"/>
                <w:color w:val="000000"/>
                <w:sz w:val="22"/>
              </w:rPr>
              <w:t>CỘNG HOÀ XÃ HỘI CHỦ NGHĨA VIỆT NAM</w:t>
              <w:br/>
            </w:r>
            <w:r>
              <w:rPr>
                <w:rFonts w:ascii="Times New Roman" w:hAnsi="Times New Roman" w:eastAsia="Times New Roman"/>
                <w:b/>
                <w:i w:val="0"/>
                <w:color w:val="000000"/>
                <w:sz w:val="22"/>
              </w:rPr>
              <w:t>Độc lập - Tự do - Hạnh phúc</w:t>
            </w:r>
          </w:p>
          <w:p>
            <w:pPr>
              <w:spacing w:before="0" w:after="120" w:lineRule="auto" w:line="276"/>
              <w:jc w:val="center"/>
            </w:pPr>
            <w:r>
              <w:rPr>
                <w:rFonts w:ascii="Times New Roman" w:hAnsi="Times New Roman" w:eastAsia="Times New Roman"/>
                <w:b w:val="0"/>
                <w:i w:val="0"/>
                <w:color w:val="000000"/>
                <w:sz w:val="20"/>
              </w:rPr>
              <w:t>________________________</w:t>
            </w:r>
          </w:p>
          <w:p>
            <w:pPr>
              <w:spacing w:before="160" w:after="0" w:lineRule="auto" w:line="276"/>
              <w:jc w:val="center"/>
            </w:pPr>
            <w:r>
              <w:rPr>
                <w:rFonts w:ascii="Times New Roman" w:hAnsi="Times New Roman" w:eastAsia="Times New Roman"/>
                <w:b w:val="0"/>
                <w:i/>
                <w:color w:val="000000"/>
                <w:sz w:val="22"/>
              </w:rPr>
              <w:t>Đồng Nai, ngày 07 tháng 07 năm 2026</w:t>
            </w:r>
          </w:p>
        </w:tc>
      </w:tr>
    </w:tbl>
    <w:p>
      <w:pPr>
        <w:spacing w:before="360" w:after="120" w:lineRule="auto" w:line="276"/>
        <w:jc w:val="center"/>
      </w:pPr>
      <w:r>
        <w:rPr>
          <w:rFonts w:ascii="Times New Roman" w:hAnsi="Times New Roman" w:eastAsia="Times New Roman"/>
          <w:b/>
          <w:i w:val="0"/>
          <w:color w:val="000000"/>
          <w:sz w:val="28"/>
        </w:rPr>
        <w:t>THÔNG BÁO NỢ QUÁ HẠN</w:t>
      </w:r>
    </w:p>
    <w:p>
      <w:pPr>
        <w:spacing w:before="0" w:after="200" w:lineRule="auto" w:line="276"/>
        <w:jc w:val="left"/>
      </w:pPr>
      <w:r>
        <w:rPr>
          <w:rFonts w:ascii="Times New Roman" w:hAnsi="Times New Roman" w:eastAsia="Times New Roman"/>
          <w:b/>
          <w:i w:val="0"/>
          <w:color w:val="000000"/>
          <w:sz w:val="24"/>
        </w:rPr>
        <w:t>Kính gửi: ông/bà Hoang Quang Sau</w:t>
      </w:r>
    </w:p>
    <w:p>
      <w:pPr>
        <w:spacing w:before="0" w:after="0" w:lineRule="auto" w:line="276"/>
        <w:ind w:firstLine="567"/>
        <w:jc w:val="both"/>
      </w:pPr>
      <w:r>
        <w:rPr>
          <w:rFonts w:ascii="Times New Roman" w:hAnsi="Times New Roman" w:eastAsia="Times New Roman"/>
          <w:b w:val="0"/>
          <w:i w:val="0"/>
          <w:color w:val="000000"/>
          <w:sz w:val="24"/>
        </w:rPr>
        <w:t>Căn cứ Hợp đồng tín dụng ký giữa Khách hàng và Ngân hàng TMCP Đầu tư và Phát triển Việt Nam;</w:t>
      </w:r>
    </w:p>
    <w:p>
      <w:pPr>
        <w:spacing w:before="0" w:after="160" w:lineRule="auto" w:line="276"/>
        <w:ind w:firstLine="567"/>
        <w:jc w:val="both"/>
      </w:pPr>
      <w:r>
        <w:rPr>
          <w:rFonts w:ascii="Times New Roman" w:hAnsi="Times New Roman" w:eastAsia="Times New Roman"/>
          <w:b w:val="0"/>
          <w:i w:val="0"/>
          <w:color w:val="000000"/>
          <w:sz w:val="24"/>
        </w:rPr>
        <w:t>Ngân hàng TMCP Đầu tư và Phát triển Việt Nam – Chi nhánh Đông Đồng Nai (sau đây gọi là “Ngân hàng”) trân trọng thông báo đến quý khách được biết về khoản nợ tính đến ngày 07/07/2026 và đề nghị như sau:</w:t>
      </w:r>
    </w:p>
    <w:p>
      <w:pPr>
        <w:spacing w:before="0" w:after="80" w:lineRule="auto" w:line="276"/>
        <w:jc w:val="right"/>
      </w:pPr>
      <w:r>
        <w:rPr>
          <w:rFonts w:ascii="Times New Roman" w:hAnsi="Times New Roman" w:eastAsia="Times New Roman"/>
          <w:b w:val="0"/>
          <w:i/>
          <w:color w:val="000000"/>
          <w:sz w:val="20"/>
        </w:rPr>
        <w:t>ĐVT: Đồng</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vMerge w:val="restart"/>
            <w:shd w:fill="D9E2F3" w:val="clear"/>
            <w:shd w:fill="D9E2F3" w:val="clear"/>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Số khoản vay</w:t>
            </w:r>
          </w:p>
        </w:tc>
        <w:tc>
          <w:tcPr>
            <w:tcW w:type="dxa" w:w="3615"/>
            <w:gridSpan w:val="3"/>
            <w:shd w:fill="D9E2F3" w:val="clear"/>
            <w:shd w:fill="D9E2F3" w:val="clear"/>
            <w:shd w:fill="D9E2F3" w:val="clear"/>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Dư nợ hiện tại</w:t>
            </w:r>
          </w:p>
        </w:tc>
        <w:tc>
          <w:tcPr>
            <w:tcW w:type="dxa" w:w="3615"/>
            <w:gridSpan w:val="3"/>
            <w:shd w:fill="D9E2F3" w:val="clear"/>
            <w:shd w:fill="D9E2F3" w:val="clear"/>
            <w:shd w:fill="D9E2F3" w:val="clear"/>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Dư nợ quá hạn</w:t>
            </w:r>
          </w:p>
        </w:tc>
        <w:tc>
          <w:tcPr>
            <w:tcW w:type="dxa" w:w="1205"/>
            <w:vMerge w:val="restart"/>
            <w:shd w:fill="D9E2F3" w:val="clear"/>
            <w:shd w:fill="D9E2F3" w:val="clear"/>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Số ngày</w:t>
              <w:br/>
              <w:t>quá hạn</w:t>
            </w:r>
          </w:p>
        </w:tc>
      </w:tr>
      <w:tr>
        <w:tc>
          <w:tcPr>
            <w:tcW w:type="dxa" w:w="1205"/>
            <w:vMerge/>
          </w:tcP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Gốc</w:t>
            </w: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Lãi và</w:t>
              <w:br/>
              <w:t>lãi phạt</w:t>
            </w: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Tổng</w:t>
            </w: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Gốc</w:t>
            </w: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Lãi và</w:t>
              <w:br/>
              <w:t>lãi phạt</w:t>
            </w: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Tổng</w:t>
            </w:r>
          </w:p>
        </w:tc>
        <w:tc>
          <w:tcPr>
            <w:tcW w:type="dxa" w:w="1205"/>
            <w:vMerge/>
          </w:tcPr>
          <w:p/>
        </w:tc>
      </w:tr>
      <w:tr>
        <w:tc>
          <w:tcPr>
            <w:tcW w:type="dxa" w:w="1205"/>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val="0"/>
                <w:i w:val="0"/>
                <w:color w:val="000000"/>
                <w:sz w:val="18"/>
              </w:rPr>
              <w:t>404004417242</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49.944.608</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141.761</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50.086.369</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49.944.608</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129.446</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50.074.054</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val="0"/>
                <w:i w:val="0"/>
                <w:color w:val="000000"/>
                <w:sz w:val="18"/>
              </w:rPr>
              <w:t>1</w:t>
            </w:r>
          </w:p>
        </w:tc>
      </w:tr>
      <w:tr>
        <w:tc>
          <w:tcPr>
            <w:tcW w:type="dxa" w:w="1205"/>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Tổng cộng</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49.944.608</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141.761</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50.086.369</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49.944.608</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129.446</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50.074.054</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r>
          </w:p>
        </w:tc>
      </w:tr>
    </w:tbl>
    <w:p>
      <w:pPr>
        <w:spacing w:before="240" w:after="0" w:lineRule="auto" w:line="276"/>
        <w:ind w:firstLine="567"/>
        <w:jc w:val="both"/>
      </w:pPr>
      <w:r>
        <w:rPr>
          <w:rFonts w:ascii="Times New Roman" w:hAnsi="Times New Roman" w:eastAsia="Times New Roman"/>
          <w:b w:val="0"/>
          <w:i w:val="0"/>
          <w:color w:val="000000"/>
          <w:sz w:val="24"/>
        </w:rPr>
        <w:t xml:space="preserve">Tổng nợ gốc, lãi của quý khách đến ngày 07/07/2026 là </w:t>
      </w:r>
      <w:r>
        <w:rPr>
          <w:rFonts w:ascii="Times New Roman" w:hAnsi="Times New Roman" w:eastAsia="Times New Roman"/>
          <w:b/>
          <w:i w:val="0"/>
          <w:color w:val="000000"/>
          <w:sz w:val="24"/>
        </w:rPr>
        <w:t>50.086.369 đồng</w:t>
      </w:r>
      <w:r>
        <w:rPr>
          <w:rFonts w:ascii="Times New Roman" w:hAnsi="Times New Roman" w:eastAsia="Times New Roman"/>
          <w:b w:val="0"/>
          <w:i w:val="0"/>
          <w:color w:val="000000"/>
          <w:sz w:val="24"/>
        </w:rPr>
        <w:t xml:space="preserve"> (Bằng chữ: Năm mươi triệu tám mươi sáu nghìn ba trăm sáu mươi chín đồng). Trong đó, tổng số tiền quá hạn là </w:t>
      </w:r>
      <w:r>
        <w:rPr>
          <w:rFonts w:ascii="Times New Roman" w:hAnsi="Times New Roman" w:eastAsia="Times New Roman"/>
          <w:b/>
          <w:i w:val="0"/>
          <w:color w:val="000000"/>
          <w:sz w:val="24"/>
        </w:rPr>
        <w:t>50.074.054 đồng</w:t>
      </w:r>
      <w:r>
        <w:rPr>
          <w:rFonts w:ascii="Times New Roman" w:hAnsi="Times New Roman" w:eastAsia="Times New Roman"/>
          <w:b w:val="0"/>
          <w:i w:val="0"/>
          <w:color w:val="000000"/>
          <w:sz w:val="24"/>
        </w:rPr>
        <w:t xml:space="preserve"> (Bằng chữ: Năm mươi triệu bảy mươi tư nghìn năm mươi tư đồng), đề nghị quý khách thu xếp để thanh toán toàn bộ số tiền nợ quá hạn tại Ngân hàng trước ngày 22/07/2026. Trường hợp quý khách không thanh toán đầy đủ nợ quá hạn trong thời gian thông báo này, Ngân hàng sẽ thực hiện các biện pháp khởi kiện, phát mại tài sản bảo đảm để thu hồi nợ.</w:t>
      </w:r>
    </w:p>
    <w:p>
      <w:pPr>
        <w:spacing w:before="160" w:after="0" w:lineRule="auto" w:line="276"/>
        <w:ind w:firstLine="567"/>
        <w:jc w:val="both"/>
      </w:pPr>
      <w:r>
        <w:rPr>
          <w:rFonts w:ascii="Times New Roman" w:hAnsi="Times New Roman" w:eastAsia="Times New Roman"/>
          <w:b w:val="0"/>
          <w:i w:val="0"/>
          <w:color w:val="000000"/>
          <w:sz w:val="24"/>
        </w:rPr>
        <w:t>Mọi thông tin xin vui lòng liên hệ đến Phòng Khách hàng cá nhân – Ngân hàng TMCP Đầu tư và Phát triển Việt Nam – Chi nhánh Đông Đồng Nai, số điện thoại: 02513 526 325.</w:t>
      </w:r>
    </w:p>
    <w:p>
      <w:pPr>
        <w:spacing w:before="120" w:after="200" w:lineRule="auto" w:line="276"/>
        <w:jc w:val="left"/>
      </w:pPr>
      <w:r>
        <w:rPr>
          <w:rFonts w:ascii="Times New Roman" w:hAnsi="Times New Roman" w:eastAsia="Times New Roman"/>
          <w:b w:val="0"/>
          <w:i w:val="0"/>
          <w:color w:val="000000"/>
          <w:sz w:val="24"/>
        </w:rPr>
        <w:t>Trân trọng thông báo./.</w:t>
      </w:r>
    </w:p>
    <w:tbl>
      <w:tblPr>
        <w:tblW w:type="auto" w:w="0"/>
        <w:tblLook w:firstColumn="1" w:firstRow="1" w:lastColumn="0" w:lastRow="0" w:noHBand="0" w:noVBand="1" w:val="04A0"/>
      </w:tblPr>
      <w:tblGrid>
        <w:gridCol w:w="4819"/>
        <w:gridCol w:w="4819"/>
      </w:tblGrid>
      <w:tr>
        <w:tc>
          <w:tcPr>
            <w:tcW w:type="dxa" w:w="4819"/>
          </w:tcPr>
          <w:p>
            <w:pPr>
              <w:spacing w:before="0" w:after="0" w:lineRule="auto" w:line="276"/>
              <w:jc w:val="left"/>
            </w:pPr>
            <w:r/>
            <w:r>
              <w:rPr>
                <w:rFonts w:ascii="Times New Roman" w:hAnsi="Times New Roman" w:eastAsia="Times New Roman"/>
                <w:b/>
                <w:i/>
                <w:color w:val="000000"/>
                <w:sz w:val="22"/>
              </w:rPr>
              <w:t>Nơi nhận: (…bản)</w:t>
            </w:r>
          </w:p>
          <w:p>
            <w:pPr>
              <w:spacing w:before="0" w:after="0" w:lineRule="auto" w:line="264"/>
              <w:jc w:val="left"/>
            </w:pPr>
            <w:r>
              <w:rPr>
                <w:rFonts w:ascii="Times New Roman" w:hAnsi="Times New Roman" w:eastAsia="Times New Roman"/>
                <w:b w:val="0"/>
                <w:i w:val="0"/>
                <w:color w:val="000000"/>
                <w:sz w:val="22"/>
              </w:rPr>
              <w:t>- Như trên;</w:t>
            </w:r>
          </w:p>
          <w:p>
            <w:pPr>
              <w:spacing w:before="0" w:after="0" w:lineRule="auto" w:line="264"/>
              <w:jc w:val="left"/>
            </w:pPr>
            <w:r>
              <w:rPr>
                <w:rFonts w:ascii="Times New Roman" w:hAnsi="Times New Roman" w:eastAsia="Times New Roman"/>
                <w:b w:val="0"/>
                <w:i w:val="0"/>
                <w:color w:val="000000"/>
                <w:sz w:val="22"/>
              </w:rPr>
              <w:t>- Ban Giám đốc B.One</w:t>
            </w:r>
          </w:p>
          <w:p>
            <w:pPr>
              <w:spacing w:before="0" w:after="0" w:lineRule="auto" w:line="264"/>
              <w:jc w:val="left"/>
            </w:pPr>
            <w:r>
              <w:rPr>
                <w:rFonts w:ascii="Times New Roman" w:hAnsi="Times New Roman" w:eastAsia="Times New Roman"/>
                <w:b w:val="0"/>
                <w:i w:val="0"/>
                <w:color w:val="000000"/>
                <w:sz w:val="22"/>
              </w:rPr>
              <w:t>- P. KHCN B.One;</w:t>
            </w:r>
          </w:p>
          <w:p>
            <w:pPr>
              <w:spacing w:before="0" w:after="0" w:lineRule="auto" w:line="264"/>
              <w:jc w:val="left"/>
            </w:pPr>
            <w:r>
              <w:rPr>
                <w:rFonts w:ascii="Times New Roman" w:hAnsi="Times New Roman" w:eastAsia="Times New Roman"/>
                <w:b w:val="0"/>
                <w:i w:val="0"/>
                <w:color w:val="000000"/>
                <w:sz w:val="22"/>
              </w:rPr>
              <w:t>- Lưu VT; P. QTTD.</w:t>
            </w:r>
          </w:p>
        </w:tc>
        <w:tc>
          <w:tcPr>
            <w:tcW w:type="dxa" w:w="4819"/>
          </w:tcPr>
          <w:p>
            <w:pPr>
              <w:spacing w:before="0" w:after="0" w:lineRule="auto" w:line="276"/>
              <w:jc w:val="center"/>
            </w:pPr>
            <w:r/>
            <w:r>
              <w:rPr>
                <w:rFonts w:ascii="Times New Roman" w:hAnsi="Times New Roman" w:eastAsia="Times New Roman"/>
                <w:b/>
                <w:i w:val="0"/>
                <w:color w:val="000000"/>
                <w:sz w:val="24"/>
              </w:rPr>
              <w:t>ĐẠI DIỆN NGÂN HÀNG</w:t>
            </w:r>
          </w:p>
          <w:p>
            <w:pPr>
              <w:spacing w:before="0" w:after="0" w:lineRule="auto" w:line="276"/>
              <w:jc w:val="center"/>
            </w:pPr>
            <w:r>
              <w:rPr>
                <w:rFonts w:ascii="Times New Roman" w:hAnsi="Times New Roman" w:eastAsia="Times New Roman"/>
                <w:b w:val="0"/>
                <w:i w:val="0"/>
                <w:color w:val="000000"/>
                <w:sz w:val="24"/>
              </w:rPr>
            </w:r>
          </w:p>
          <w:p>
            <w:pPr>
              <w:spacing w:before="0" w:after="0" w:lineRule="auto" w:line="276"/>
              <w:jc w:val="center"/>
            </w:pPr>
            <w:r>
              <w:rPr>
                <w:rFonts w:ascii="Times New Roman" w:hAnsi="Times New Roman" w:eastAsia="Times New Roman"/>
                <w:b w:val="0"/>
                <w:i w:val="0"/>
                <w:color w:val="000000"/>
                <w:sz w:val="24"/>
              </w:rPr>
            </w:r>
          </w:p>
          <w:p>
            <w:pPr>
              <w:spacing w:before="0" w:after="0" w:lineRule="auto" w:line="276"/>
              <w:jc w:val="center"/>
            </w:pPr>
            <w:r>
              <w:rPr>
                <w:rFonts w:ascii="Times New Roman" w:hAnsi="Times New Roman" w:eastAsia="Times New Roman"/>
                <w:b w:val="0"/>
                <w:i w:val="0"/>
                <w:color w:val="000000"/>
                <w:sz w:val="24"/>
              </w:rPr>
            </w:r>
          </w:p>
          <w:p>
            <w:pPr>
              <w:spacing w:before="0" w:after="0" w:lineRule="auto" w:line="276"/>
              <w:jc w:val="center"/>
            </w:pPr>
            <w:r>
              <w:rPr>
                <w:rFonts w:ascii="Times New Roman" w:hAnsi="Times New Roman" w:eastAsia="Times New Roman"/>
                <w:b w:val="0"/>
                <w:i w:val="0"/>
                <w:color w:val="000000"/>
                <w:sz w:val="24"/>
              </w:rPr>
            </w:r>
          </w:p>
          <w:p>
            <w:pPr>
              <w:spacing w:before="0" w:after="0" w:lineRule="auto" w:line="276"/>
              <w:jc w:val="center"/>
            </w:pPr>
            <w:r>
              <w:rPr>
                <w:rFonts w:ascii="Times New Roman" w:hAnsi="Times New Roman" w:eastAsia="Times New Roman"/>
                <w:b w:val="0"/>
                <w:i w:val="0"/>
                <w:color w:val="000000"/>
                <w:sz w:val="24"/>
              </w:rPr>
            </w:r>
          </w:p>
          <w:p>
            <w:pPr>
              <w:spacing w:before="120" w:after="0" w:lineRule="auto" w:line="276"/>
              <w:jc w:val="center"/>
            </w:pPr>
            <w:r>
              <w:rPr>
                <w:rFonts w:ascii="Times New Roman" w:hAnsi="Times New Roman" w:eastAsia="Times New Roman"/>
                <w:b/>
                <w:i w:val="0"/>
                <w:color w:val="000000"/>
                <w:sz w:val="24"/>
              </w:rPr>
              <w:t>Nguyễn Quốc Tuấn</w:t>
            </w:r>
          </w:p>
          <w:p>
            <w:pPr>
              <w:spacing w:before="0" w:after="0" w:lineRule="auto" w:line="276"/>
              <w:jc w:val="center"/>
            </w:pPr>
            <w:r>
              <w:rPr>
                <w:rFonts w:ascii="Times New Roman" w:hAnsi="Times New Roman" w:eastAsia="Times New Roman"/>
                <w:b w:val="0"/>
                <w:i w:val="0"/>
                <w:color w:val="000000"/>
                <w:sz w:val="22"/>
              </w:rPr>
              <w:t>P.KHCN</w:t>
            </w:r>
          </w:p>
        </w:tc>
      </w:tr>
    </w:tbl>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