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1F19A" w14:textId="77777777" w:rsidR="00B7332B" w:rsidRPr="000120FC" w:rsidRDefault="00B7332B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20FC">
        <w:rPr>
          <w:rFonts w:ascii="Times New Roman" w:hAnsi="Times New Roman" w:cs="Times New Roman"/>
          <w:sz w:val="28"/>
          <w:szCs w:val="28"/>
        </w:rPr>
        <w:t>Здравствуйте</w:t>
      </w:r>
    </w:p>
    <w:p w14:paraId="1BCAE9C5" w14:textId="6A88610C" w:rsidR="004E2E40" w:rsidRPr="000120FC" w:rsidRDefault="00B7332B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20FC">
        <w:rPr>
          <w:rFonts w:ascii="Times New Roman" w:hAnsi="Times New Roman" w:cs="Times New Roman"/>
          <w:sz w:val="28"/>
          <w:szCs w:val="28"/>
        </w:rPr>
        <w:t>Сегодня я расскажу о теме «Международное сотрудничество в сфере ПОД/ФТ/ФРОМУ».</w:t>
      </w:r>
    </w:p>
    <w:p w14:paraId="558A0A56" w14:textId="77777777" w:rsidR="00B7332B" w:rsidRDefault="00B7332B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651C32" w14:textId="75ACE70B" w:rsidR="000120FC" w:rsidRPr="0029659F" w:rsidRDefault="000120FC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659F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3024D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0D37C6D" w14:textId="138445FE" w:rsidR="00B7332B" w:rsidRDefault="000120FC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20FC">
        <w:rPr>
          <w:rFonts w:ascii="Times New Roman" w:hAnsi="Times New Roman" w:cs="Times New Roman"/>
          <w:sz w:val="28"/>
          <w:szCs w:val="28"/>
        </w:rPr>
        <w:t>Отмывание денег и финансирование терроризма являются особенно серьезными проблемами для каждой страны. При этом эти виды преступлений зачастую имеют трансграничный масштаб, охватывая одновременно множество стран. Поэтому международное сотрудничество в сфере ПОД/ФТ/ФРОМУ является необходимой и актуальной.</w:t>
      </w:r>
    </w:p>
    <w:p w14:paraId="0E79F33F" w14:textId="77777777" w:rsidR="000120FC" w:rsidRDefault="000120FC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262625" w14:textId="7CFBA9DD" w:rsidR="000120FC" w:rsidRPr="0029659F" w:rsidRDefault="006909D3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659F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3024D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8FEC1D1" w14:textId="3186EE90" w:rsidR="002604FD" w:rsidRDefault="002604FD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 главным документом в сфере ПОД/ФТ/ФРОМУ является федеральный закон № 115-ФЗ</w:t>
      </w:r>
      <w:r w:rsidR="00E92C35">
        <w:rPr>
          <w:rFonts w:ascii="Times New Roman" w:hAnsi="Times New Roman" w:cs="Times New Roman"/>
          <w:sz w:val="28"/>
          <w:szCs w:val="28"/>
        </w:rPr>
        <w:t>.</w:t>
      </w:r>
    </w:p>
    <w:p w14:paraId="23DAF126" w14:textId="1C2B254C" w:rsidR="002604FD" w:rsidRPr="002604FD" w:rsidRDefault="00E92C35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четвертой г</w:t>
      </w:r>
      <w:r w:rsidR="002604FD" w:rsidRPr="002604FD">
        <w:rPr>
          <w:rFonts w:ascii="Times New Roman" w:hAnsi="Times New Roman" w:cs="Times New Roman"/>
          <w:sz w:val="28"/>
          <w:szCs w:val="28"/>
        </w:rPr>
        <w:t>лав</w:t>
      </w:r>
      <w:r>
        <w:rPr>
          <w:rFonts w:ascii="Times New Roman" w:hAnsi="Times New Roman" w:cs="Times New Roman"/>
          <w:sz w:val="28"/>
          <w:szCs w:val="28"/>
        </w:rPr>
        <w:t>е о</w:t>
      </w:r>
      <w:r w:rsidR="002604FD" w:rsidRPr="002604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604FD" w:rsidRPr="002604FD">
        <w:rPr>
          <w:rFonts w:ascii="Times New Roman" w:hAnsi="Times New Roman" w:cs="Times New Roman"/>
          <w:sz w:val="28"/>
          <w:szCs w:val="28"/>
        </w:rPr>
        <w:t>еждународно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604FD" w:rsidRPr="002604FD">
        <w:rPr>
          <w:rFonts w:ascii="Times New Roman" w:hAnsi="Times New Roman" w:cs="Times New Roman"/>
          <w:sz w:val="28"/>
          <w:szCs w:val="28"/>
        </w:rPr>
        <w:t xml:space="preserve"> сотрудничеств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604FD" w:rsidRPr="002604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указаны:</w:t>
      </w:r>
    </w:p>
    <w:p w14:paraId="21620829" w14:textId="65F3474A" w:rsidR="002604FD" w:rsidRPr="002604FD" w:rsidRDefault="00E92C35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604FD" w:rsidRPr="002604FD">
        <w:rPr>
          <w:rFonts w:ascii="Times New Roman" w:hAnsi="Times New Roman" w:cs="Times New Roman"/>
          <w:sz w:val="28"/>
          <w:szCs w:val="28"/>
        </w:rPr>
        <w:t xml:space="preserve">статья 10 об обмене информацией между государствами </w:t>
      </w:r>
      <w:r w:rsidR="002604FD" w:rsidRPr="00C571A3">
        <w:rPr>
          <w:rFonts w:ascii="Times New Roman" w:hAnsi="Times New Roman" w:cs="Times New Roman"/>
          <w:i/>
          <w:iCs/>
          <w:sz w:val="28"/>
          <w:szCs w:val="28"/>
        </w:rPr>
        <w:t>при выявлении, изъятии и конфискации доходов, полученных преступным путем</w:t>
      </w:r>
    </w:p>
    <w:p w14:paraId="48DFE011" w14:textId="4102CC48" w:rsidR="002604FD" w:rsidRPr="002604FD" w:rsidRDefault="00E92C35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604FD" w:rsidRPr="002604FD">
        <w:rPr>
          <w:rFonts w:ascii="Times New Roman" w:hAnsi="Times New Roman" w:cs="Times New Roman"/>
          <w:sz w:val="28"/>
          <w:szCs w:val="28"/>
        </w:rPr>
        <w:t>статья 11 о признании приговоров (решений) вынесенного судом иностранного государства для лиц, доходы которых полученные преступным путем</w:t>
      </w:r>
    </w:p>
    <w:p w14:paraId="4F852B16" w14:textId="2363BD4D" w:rsidR="006909D3" w:rsidRPr="00645847" w:rsidRDefault="00E92C35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604FD" w:rsidRPr="002604FD">
        <w:rPr>
          <w:rFonts w:ascii="Times New Roman" w:hAnsi="Times New Roman" w:cs="Times New Roman"/>
          <w:sz w:val="28"/>
          <w:szCs w:val="28"/>
        </w:rPr>
        <w:t xml:space="preserve">статья 12 об выдаче и транзитной перевозке </w:t>
      </w:r>
      <w:r w:rsidR="002604FD" w:rsidRPr="00645847">
        <w:rPr>
          <w:rFonts w:ascii="Times New Roman" w:hAnsi="Times New Roman" w:cs="Times New Roman"/>
          <w:i/>
          <w:iCs/>
          <w:sz w:val="28"/>
          <w:szCs w:val="28"/>
        </w:rPr>
        <w:t>касается решений о выдаче иностранных граждан, совершивших преступления, связанные с отмыванием денег и финансированием терроризма</w:t>
      </w:r>
    </w:p>
    <w:p w14:paraId="4916032A" w14:textId="77777777" w:rsidR="00E92C35" w:rsidRDefault="00E92C35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B7F723" w14:textId="584F3D1E" w:rsidR="00E92C35" w:rsidRPr="007824E2" w:rsidRDefault="00E92C35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4E2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3024D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8DEDAA2" w14:textId="00A392C4" w:rsidR="00E92C35" w:rsidRDefault="00BF61F9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F61F9">
        <w:rPr>
          <w:rFonts w:ascii="Times New Roman" w:hAnsi="Times New Roman" w:cs="Times New Roman"/>
          <w:sz w:val="28"/>
          <w:szCs w:val="28"/>
        </w:rPr>
        <w:t>Деятельность международных организаций в сфере ПОД/ФТ/ФРОМУ</w:t>
      </w:r>
    </w:p>
    <w:p w14:paraId="746384AD" w14:textId="0E4908A9" w:rsidR="009A5B7E" w:rsidRPr="00CD6C2A" w:rsidRDefault="009A5B7E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Российская Федерация участвует в следующие группы:</w:t>
      </w:r>
    </w:p>
    <w:p w14:paraId="5CB81E2D" w14:textId="63BD264E" w:rsidR="00EE5D16" w:rsidRPr="00EE5D16" w:rsidRDefault="00EE5D16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E5D16">
        <w:rPr>
          <w:rFonts w:ascii="Times New Roman" w:hAnsi="Times New Roman" w:cs="Times New Roman"/>
          <w:sz w:val="28"/>
          <w:szCs w:val="28"/>
        </w:rPr>
        <w:t>Группа разработки финансовых мер борьбы с отмыванием денег (ФАТФ)</w:t>
      </w:r>
    </w:p>
    <w:p w14:paraId="1E6A85FB" w14:textId="54AF3C15" w:rsidR="00EE5D16" w:rsidRPr="0029659F" w:rsidRDefault="00EE5D16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E5D16">
        <w:rPr>
          <w:rFonts w:ascii="Times New Roman" w:hAnsi="Times New Roman" w:cs="Times New Roman"/>
          <w:sz w:val="28"/>
          <w:szCs w:val="28"/>
        </w:rPr>
        <w:t>Организация Объединенных Наций (ООН)</w:t>
      </w:r>
      <w:r w:rsidR="00CD6C2A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CD6C2A" w:rsidRPr="00CD6C2A">
        <w:rPr>
          <w:rFonts w:ascii="Times New Roman" w:hAnsi="Times New Roman" w:cs="Times New Roman"/>
          <w:sz w:val="28"/>
          <w:szCs w:val="28"/>
          <w:lang w:val="vi-VN"/>
        </w:rPr>
        <w:t>Некоторые известные документы включают в себя:</w:t>
      </w:r>
    </w:p>
    <w:p w14:paraId="77A2BBA8" w14:textId="16EAB3C9" w:rsidR="00EE5D16" w:rsidRPr="00EE5D16" w:rsidRDefault="00EE5D16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EE5D16">
        <w:rPr>
          <w:rFonts w:ascii="Times New Roman" w:hAnsi="Times New Roman" w:cs="Times New Roman"/>
          <w:sz w:val="28"/>
          <w:szCs w:val="28"/>
        </w:rPr>
        <w:t>Конвенция ООН о борьбе против незаконного оборота наркотических средств и психотропных веществ 1998 г.</w:t>
      </w:r>
    </w:p>
    <w:p w14:paraId="39061531" w14:textId="28F3F959" w:rsidR="00EE5D16" w:rsidRPr="00EE5D16" w:rsidRDefault="00EE5D16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EE5D16">
        <w:rPr>
          <w:rFonts w:ascii="Times New Roman" w:hAnsi="Times New Roman" w:cs="Times New Roman"/>
          <w:sz w:val="28"/>
          <w:szCs w:val="28"/>
        </w:rPr>
        <w:t>Конвенция ООН против транснациональной организованной преступности 2000 г.</w:t>
      </w:r>
    </w:p>
    <w:p w14:paraId="3967C7B3" w14:textId="4EBBBB28" w:rsidR="00EE5D16" w:rsidRPr="00EE5D16" w:rsidRDefault="00EE5D16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EE5D16">
        <w:rPr>
          <w:rFonts w:ascii="Times New Roman" w:hAnsi="Times New Roman" w:cs="Times New Roman"/>
          <w:sz w:val="28"/>
          <w:szCs w:val="28"/>
        </w:rPr>
        <w:t>Конвенция ООН против коррупции 2003 г.</w:t>
      </w:r>
    </w:p>
    <w:p w14:paraId="5D650221" w14:textId="75C8F932" w:rsidR="00EE5D16" w:rsidRPr="00EE5D16" w:rsidRDefault="00E326F0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EE5D16" w:rsidRPr="00EE5D16">
        <w:rPr>
          <w:rFonts w:ascii="Times New Roman" w:hAnsi="Times New Roman" w:cs="Times New Roman"/>
          <w:sz w:val="28"/>
          <w:szCs w:val="28"/>
        </w:rPr>
        <w:t>Совет Европы/МАНИВЭЛ</w:t>
      </w:r>
    </w:p>
    <w:p w14:paraId="682837F9" w14:textId="2FC6A8E3" w:rsidR="00BF61F9" w:rsidRDefault="00465EC5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EE5D16" w:rsidRPr="00EE5D16">
        <w:rPr>
          <w:rFonts w:ascii="Times New Roman" w:hAnsi="Times New Roman" w:cs="Times New Roman"/>
          <w:sz w:val="28"/>
          <w:szCs w:val="28"/>
        </w:rPr>
        <w:t>Евразийская группа по противодействию легализации преступных доходов и финансированию терроризма (ЕАГ)</w:t>
      </w:r>
    </w:p>
    <w:p w14:paraId="51220217" w14:textId="2F8CDDF1" w:rsidR="003035BF" w:rsidRPr="003035BF" w:rsidRDefault="003035BF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035BF">
        <w:rPr>
          <w:rFonts w:ascii="Times New Roman" w:hAnsi="Times New Roman" w:cs="Times New Roman"/>
          <w:sz w:val="28"/>
          <w:szCs w:val="28"/>
        </w:rPr>
        <w:t>Европейский союз (ЕС)</w:t>
      </w:r>
    </w:p>
    <w:p w14:paraId="20B711F6" w14:textId="77BA2A7D" w:rsidR="003035BF" w:rsidRPr="003035BF" w:rsidRDefault="003035BF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3035BF">
        <w:rPr>
          <w:rFonts w:ascii="Times New Roman" w:hAnsi="Times New Roman" w:cs="Times New Roman"/>
          <w:sz w:val="28"/>
          <w:szCs w:val="28"/>
        </w:rPr>
        <w:t>Конвенция СЕ об отмывании, выявлении, изъятии и конфискации доходов от преступной деятельности 1990 г.</w:t>
      </w:r>
    </w:p>
    <w:p w14:paraId="2A38C989" w14:textId="0D573FE8" w:rsidR="003035BF" w:rsidRPr="003035BF" w:rsidRDefault="003035BF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3035BF">
        <w:rPr>
          <w:rFonts w:ascii="Times New Roman" w:hAnsi="Times New Roman" w:cs="Times New Roman"/>
          <w:sz w:val="28"/>
          <w:szCs w:val="28"/>
        </w:rPr>
        <w:t xml:space="preserve">Конвенция СЕ об отмывании, выявлении, изъятии и конфискации доходов от преступной деятельности и о финансировании терроризма 2005 г. </w:t>
      </w:r>
    </w:p>
    <w:p w14:paraId="5F9844F7" w14:textId="20398697" w:rsidR="003035BF" w:rsidRPr="003035BF" w:rsidRDefault="003035BF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3035BF">
        <w:rPr>
          <w:rFonts w:ascii="Times New Roman" w:hAnsi="Times New Roman" w:cs="Times New Roman"/>
          <w:sz w:val="28"/>
          <w:szCs w:val="28"/>
        </w:rPr>
        <w:t>Организация экономического сотрудничества и развития (ОЭСР)</w:t>
      </w:r>
    </w:p>
    <w:p w14:paraId="6F9A9A69" w14:textId="073BE4F2" w:rsidR="003035BF" w:rsidRPr="003035BF" w:rsidRDefault="003035BF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3035BF">
        <w:rPr>
          <w:rFonts w:ascii="Times New Roman" w:hAnsi="Times New Roman" w:cs="Times New Roman"/>
          <w:sz w:val="28"/>
          <w:szCs w:val="28"/>
        </w:rPr>
        <w:t>Содружество Независимых Государств (СНГ)</w:t>
      </w:r>
    </w:p>
    <w:p w14:paraId="19229074" w14:textId="599D94C2" w:rsidR="003035BF" w:rsidRPr="003035BF" w:rsidRDefault="003035BF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3035BF">
        <w:rPr>
          <w:rFonts w:ascii="Times New Roman" w:hAnsi="Times New Roman" w:cs="Times New Roman"/>
          <w:sz w:val="28"/>
          <w:szCs w:val="28"/>
        </w:rPr>
        <w:t>Базельский комитет по банковскому надзору (БКБН)</w:t>
      </w:r>
    </w:p>
    <w:p w14:paraId="73DBBE1A" w14:textId="20F4D4B6" w:rsidR="00465EC5" w:rsidRDefault="003035BF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3035BF">
        <w:rPr>
          <w:rFonts w:ascii="Times New Roman" w:hAnsi="Times New Roman" w:cs="Times New Roman"/>
          <w:sz w:val="28"/>
          <w:szCs w:val="28"/>
        </w:rPr>
        <w:t>Группа Эгмонт</w:t>
      </w:r>
    </w:p>
    <w:p w14:paraId="38937165" w14:textId="77777777" w:rsidR="003035BF" w:rsidRDefault="003035BF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354B7A" w14:textId="0B2A5D35" w:rsidR="003035BF" w:rsidRPr="007824E2" w:rsidRDefault="003035BF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4E2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810D97" w:rsidRPr="007824E2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563E4EF" w14:textId="72B17571" w:rsidR="00195C50" w:rsidRDefault="0069766E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указе Президента № 808</w:t>
      </w:r>
      <w:r w:rsidR="00F71CCA" w:rsidRPr="00F71CCA">
        <w:rPr>
          <w:rFonts w:ascii="Times New Roman" w:hAnsi="Times New Roman" w:cs="Times New Roman"/>
          <w:sz w:val="28"/>
          <w:szCs w:val="28"/>
        </w:rPr>
        <w:t xml:space="preserve"> (</w:t>
      </w:r>
      <w:r w:rsidR="00F71CCA">
        <w:rPr>
          <w:rFonts w:ascii="Times New Roman" w:hAnsi="Times New Roman" w:cs="Times New Roman"/>
          <w:sz w:val="28"/>
          <w:szCs w:val="28"/>
        </w:rPr>
        <w:t xml:space="preserve">восемьсот </w:t>
      </w:r>
      <w:r w:rsidR="001334FC">
        <w:rPr>
          <w:rFonts w:ascii="Times New Roman" w:hAnsi="Times New Roman" w:cs="Times New Roman"/>
          <w:sz w:val="28"/>
          <w:szCs w:val="28"/>
        </w:rPr>
        <w:t>восемь)</w:t>
      </w:r>
      <w:r>
        <w:rPr>
          <w:rFonts w:ascii="Times New Roman" w:hAnsi="Times New Roman" w:cs="Times New Roman"/>
          <w:sz w:val="28"/>
          <w:szCs w:val="28"/>
        </w:rPr>
        <w:t xml:space="preserve"> указано, что </w:t>
      </w:r>
      <w:r w:rsidRPr="0069766E">
        <w:rPr>
          <w:rFonts w:ascii="Times New Roman" w:hAnsi="Times New Roman" w:cs="Times New Roman"/>
          <w:sz w:val="28"/>
          <w:szCs w:val="28"/>
        </w:rPr>
        <w:t xml:space="preserve">Федеральная служба по финансовому мониторингу (Росфинмониторинг) является федеральным органом исполнительной власти, осуществляющим функции по </w:t>
      </w:r>
      <w:r>
        <w:rPr>
          <w:rFonts w:ascii="Times New Roman" w:hAnsi="Times New Roman" w:cs="Times New Roman"/>
          <w:sz w:val="28"/>
          <w:szCs w:val="28"/>
        </w:rPr>
        <w:t>ПОД/ФТ/ФРОМУ. Поэтому следующее я говорю о Росфинмониторинге.</w:t>
      </w:r>
    </w:p>
    <w:p w14:paraId="019EB3A5" w14:textId="77777777" w:rsidR="0069766E" w:rsidRDefault="0069766E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2B2B3A" w14:textId="0A321E77" w:rsidR="00810D97" w:rsidRDefault="00195C50" w:rsidP="006A52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5C50">
        <w:rPr>
          <w:rFonts w:ascii="Times New Roman" w:hAnsi="Times New Roman" w:cs="Times New Roman"/>
          <w:sz w:val="28"/>
          <w:szCs w:val="28"/>
        </w:rPr>
        <w:t>Росфинмониторинг в международном сотрудничестве</w:t>
      </w:r>
    </w:p>
    <w:p w14:paraId="2240AFEA" w14:textId="77777777" w:rsidR="008B36DE" w:rsidRPr="008B36DE" w:rsidRDefault="008B36DE" w:rsidP="008B36D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36DE">
        <w:rPr>
          <w:rFonts w:ascii="Times New Roman" w:hAnsi="Times New Roman" w:cs="Times New Roman"/>
          <w:sz w:val="28"/>
          <w:szCs w:val="28"/>
        </w:rPr>
        <w:t>Основными приоритетами в сфере международного сотрудничества по вопросам ПОД/ФТ являются:</w:t>
      </w:r>
    </w:p>
    <w:p w14:paraId="26A95AC8" w14:textId="71AD4370" w:rsidR="008B36DE" w:rsidRPr="008B36DE" w:rsidRDefault="008B36DE" w:rsidP="008B36D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B36DE">
        <w:rPr>
          <w:rFonts w:ascii="Times New Roman" w:hAnsi="Times New Roman" w:cs="Times New Roman"/>
          <w:sz w:val="28"/>
          <w:szCs w:val="28"/>
        </w:rPr>
        <w:t>развитие двусторонних и многосторонних форматов взаимодействия со странами-участниками системы ПОД/ФТ;</w:t>
      </w:r>
    </w:p>
    <w:p w14:paraId="4A0C7C07" w14:textId="0657206D" w:rsidR="008B36DE" w:rsidRPr="008B36DE" w:rsidRDefault="008B36DE" w:rsidP="008B36D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B36DE">
        <w:rPr>
          <w:rFonts w:ascii="Times New Roman" w:hAnsi="Times New Roman" w:cs="Times New Roman"/>
          <w:sz w:val="28"/>
          <w:szCs w:val="28"/>
        </w:rPr>
        <w:t>распространение положительного опыта в сфере ПОД/ФТ среди стран-партнеров;</w:t>
      </w:r>
    </w:p>
    <w:p w14:paraId="6F4C8DF2" w14:textId="7397D170" w:rsidR="00884F94" w:rsidRDefault="008B36DE" w:rsidP="008B36D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B36DE">
        <w:rPr>
          <w:rFonts w:ascii="Times New Roman" w:hAnsi="Times New Roman" w:cs="Times New Roman"/>
          <w:sz w:val="28"/>
          <w:szCs w:val="28"/>
        </w:rPr>
        <w:t>предоставление странам-партнерам конструктивной и своевременной информации.</w:t>
      </w:r>
    </w:p>
    <w:p w14:paraId="26F4605E" w14:textId="77777777" w:rsidR="008B36DE" w:rsidRDefault="008B36DE" w:rsidP="008B36D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F32894" w14:textId="63D09D3F" w:rsidR="008B36DE" w:rsidRPr="00957AAC" w:rsidRDefault="008B36DE" w:rsidP="008B36D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AAC">
        <w:rPr>
          <w:rFonts w:ascii="Times New Roman" w:hAnsi="Times New Roman" w:cs="Times New Roman"/>
          <w:b/>
          <w:bCs/>
          <w:sz w:val="28"/>
          <w:szCs w:val="28"/>
        </w:rPr>
        <w:t>Слайд 7</w:t>
      </w:r>
    </w:p>
    <w:p w14:paraId="4B1C4843" w14:textId="72A35403" w:rsidR="008B36DE" w:rsidRDefault="00593599" w:rsidP="008B36D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3599">
        <w:rPr>
          <w:rFonts w:ascii="Times New Roman" w:hAnsi="Times New Roman" w:cs="Times New Roman"/>
          <w:sz w:val="28"/>
          <w:szCs w:val="28"/>
        </w:rPr>
        <w:t>Росфинмониторинг в многостороннем сотрудничестве</w:t>
      </w:r>
    </w:p>
    <w:p w14:paraId="110A7CC5" w14:textId="77777777" w:rsidR="00904AA7" w:rsidRPr="00904AA7" w:rsidRDefault="00904AA7" w:rsidP="00904AA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4AA7">
        <w:rPr>
          <w:rFonts w:ascii="Times New Roman" w:hAnsi="Times New Roman" w:cs="Times New Roman"/>
          <w:sz w:val="28"/>
          <w:szCs w:val="28"/>
        </w:rPr>
        <w:t>Группа разработки финансовых мер борьбы с отмыванием денег (ФАТФ)</w:t>
      </w:r>
    </w:p>
    <w:p w14:paraId="5A614138" w14:textId="77777777" w:rsidR="00904AA7" w:rsidRPr="00904AA7" w:rsidRDefault="00904AA7" w:rsidP="00904AA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4AA7">
        <w:rPr>
          <w:rFonts w:ascii="Times New Roman" w:hAnsi="Times New Roman" w:cs="Times New Roman"/>
          <w:sz w:val="28"/>
          <w:szCs w:val="28"/>
        </w:rPr>
        <w:t>Евразийская группа по противодействию легализации преступных доходов и финансированию терроризма (ЕАГ)</w:t>
      </w:r>
    </w:p>
    <w:p w14:paraId="600FEF43" w14:textId="77777777" w:rsidR="00904AA7" w:rsidRPr="00904AA7" w:rsidRDefault="00904AA7" w:rsidP="00904AA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4AA7">
        <w:rPr>
          <w:rFonts w:ascii="Times New Roman" w:hAnsi="Times New Roman" w:cs="Times New Roman"/>
          <w:sz w:val="28"/>
          <w:szCs w:val="28"/>
        </w:rPr>
        <w:lastRenderedPageBreak/>
        <w:t>Региональная группа по типу ФАТФ на Ближнем Востоке и в Северной Африке (МЕНАФАТФ)</w:t>
      </w:r>
    </w:p>
    <w:p w14:paraId="5E5AC916" w14:textId="77777777" w:rsidR="00904AA7" w:rsidRPr="00904AA7" w:rsidRDefault="00904AA7" w:rsidP="00904AA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4AA7">
        <w:rPr>
          <w:rFonts w:ascii="Times New Roman" w:hAnsi="Times New Roman" w:cs="Times New Roman"/>
          <w:sz w:val="28"/>
          <w:szCs w:val="28"/>
        </w:rPr>
        <w:t>международное профессиональное объединение подразделений финансовой разведки (ПФР) – Группы «Эгмонт»</w:t>
      </w:r>
    </w:p>
    <w:p w14:paraId="5BE13279" w14:textId="77777777" w:rsidR="00904AA7" w:rsidRPr="00904AA7" w:rsidRDefault="00904AA7" w:rsidP="00904AA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4AA7">
        <w:rPr>
          <w:rFonts w:ascii="Times New Roman" w:hAnsi="Times New Roman" w:cs="Times New Roman"/>
          <w:sz w:val="28"/>
          <w:szCs w:val="28"/>
        </w:rPr>
        <w:t>Совет руководителей подразделений финансовой разведки государств-участников Содружества Независимых Государств (СРПФР)</w:t>
      </w:r>
    </w:p>
    <w:p w14:paraId="2EDE3465" w14:textId="65AA3D0D" w:rsidR="00593599" w:rsidRDefault="00904AA7" w:rsidP="00904AA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4AA7">
        <w:rPr>
          <w:rFonts w:ascii="Times New Roman" w:hAnsi="Times New Roman" w:cs="Times New Roman"/>
          <w:sz w:val="28"/>
          <w:szCs w:val="28"/>
        </w:rPr>
        <w:t>ряд иных международных структур, а также мероприятий, проводимых под эгидой ООН.</w:t>
      </w:r>
    </w:p>
    <w:p w14:paraId="587EABCE" w14:textId="77777777" w:rsidR="00CF4624" w:rsidRDefault="00CF4624" w:rsidP="00904AA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7E7D54" w14:textId="52FE1027" w:rsidR="00CF4624" w:rsidRPr="0087195E" w:rsidRDefault="00CF4624" w:rsidP="00904AA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195E">
        <w:rPr>
          <w:rFonts w:ascii="Times New Roman" w:hAnsi="Times New Roman" w:cs="Times New Roman"/>
          <w:b/>
          <w:bCs/>
          <w:sz w:val="28"/>
          <w:szCs w:val="28"/>
        </w:rPr>
        <w:t>Слайд 8</w:t>
      </w:r>
    </w:p>
    <w:p w14:paraId="619FC321" w14:textId="2BA2EB75" w:rsidR="00CF4624" w:rsidRDefault="001442F2" w:rsidP="00904AA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2F2">
        <w:rPr>
          <w:rFonts w:ascii="Times New Roman" w:hAnsi="Times New Roman" w:cs="Times New Roman"/>
          <w:sz w:val="28"/>
          <w:szCs w:val="28"/>
        </w:rPr>
        <w:t>Росфинмониторинг в двустороннем сотрудничестве</w:t>
      </w:r>
    </w:p>
    <w:p w14:paraId="5A075EAF" w14:textId="7996DF8D" w:rsidR="001442F2" w:rsidRDefault="009953B4" w:rsidP="00904AA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53B4">
        <w:rPr>
          <w:rFonts w:ascii="Times New Roman" w:hAnsi="Times New Roman" w:cs="Times New Roman"/>
          <w:sz w:val="28"/>
          <w:szCs w:val="28"/>
        </w:rPr>
        <w:t>Профильное двустороннее сотрудничество с ПФР иностранных государств Росфинмониторинг осуществляет на основе принципа взаимности или подписанных международных соглашений о взаимодействии в сфере ПОД/ФТ.</w:t>
      </w:r>
    </w:p>
    <w:p w14:paraId="2F249C58" w14:textId="77777777" w:rsidR="009953B4" w:rsidRDefault="009953B4" w:rsidP="00904AA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C7E48C" w14:textId="10E51BA0" w:rsidR="009953B4" w:rsidRPr="0087195E" w:rsidRDefault="009953B4" w:rsidP="00904AA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195E">
        <w:rPr>
          <w:rFonts w:ascii="Times New Roman" w:hAnsi="Times New Roman" w:cs="Times New Roman"/>
          <w:b/>
          <w:bCs/>
          <w:sz w:val="28"/>
          <w:szCs w:val="28"/>
        </w:rPr>
        <w:t>Слайд 9</w:t>
      </w:r>
    </w:p>
    <w:p w14:paraId="0F5F9994" w14:textId="711B295A" w:rsidR="00CB66DC" w:rsidRDefault="00CB66DC" w:rsidP="00904AA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49CBD69A" w14:textId="4AE95B0E" w:rsidR="00CB66DC" w:rsidRPr="00CB66DC" w:rsidRDefault="00CB66DC" w:rsidP="00CB66D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66DC">
        <w:rPr>
          <w:rFonts w:ascii="Times New Roman" w:hAnsi="Times New Roman" w:cs="Times New Roman"/>
          <w:sz w:val="28"/>
          <w:szCs w:val="28"/>
        </w:rPr>
        <w:t>Основны</w:t>
      </w:r>
      <w:r w:rsidR="009A0D6A">
        <w:rPr>
          <w:rFonts w:ascii="Times New Roman" w:hAnsi="Times New Roman" w:cs="Times New Roman"/>
          <w:sz w:val="28"/>
          <w:szCs w:val="28"/>
        </w:rPr>
        <w:t>м</w:t>
      </w:r>
      <w:r w:rsidRPr="00CB66DC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="009A0D6A">
        <w:rPr>
          <w:rFonts w:ascii="Times New Roman" w:hAnsi="Times New Roman" w:cs="Times New Roman"/>
          <w:sz w:val="28"/>
          <w:szCs w:val="28"/>
        </w:rPr>
        <w:t>ом</w:t>
      </w:r>
      <w:r w:rsidRPr="00CB66DC">
        <w:rPr>
          <w:rFonts w:ascii="Times New Roman" w:hAnsi="Times New Roman" w:cs="Times New Roman"/>
          <w:sz w:val="28"/>
          <w:szCs w:val="28"/>
        </w:rPr>
        <w:t xml:space="preserve"> </w:t>
      </w:r>
      <w:r w:rsidR="009A0D6A">
        <w:rPr>
          <w:rFonts w:ascii="Times New Roman" w:hAnsi="Times New Roman" w:cs="Times New Roman"/>
          <w:sz w:val="28"/>
          <w:szCs w:val="28"/>
        </w:rPr>
        <w:t>в сфере ПОД/ФТ/ФРОМУ является</w:t>
      </w:r>
      <w:r w:rsidRPr="00CB66DC">
        <w:rPr>
          <w:rFonts w:ascii="Times New Roman" w:hAnsi="Times New Roman" w:cs="Times New Roman"/>
          <w:sz w:val="28"/>
          <w:szCs w:val="28"/>
        </w:rPr>
        <w:t xml:space="preserve"> взаимность или подписанны</w:t>
      </w:r>
      <w:r w:rsidR="00786522">
        <w:rPr>
          <w:rFonts w:ascii="Times New Roman" w:hAnsi="Times New Roman" w:cs="Times New Roman"/>
          <w:sz w:val="28"/>
          <w:szCs w:val="28"/>
        </w:rPr>
        <w:t>е</w:t>
      </w:r>
      <w:r w:rsidRPr="00CB66DC">
        <w:rPr>
          <w:rFonts w:ascii="Times New Roman" w:hAnsi="Times New Roman" w:cs="Times New Roman"/>
          <w:sz w:val="28"/>
          <w:szCs w:val="28"/>
        </w:rPr>
        <w:t xml:space="preserve"> международны</w:t>
      </w:r>
      <w:r w:rsidR="00786522">
        <w:rPr>
          <w:rFonts w:ascii="Times New Roman" w:hAnsi="Times New Roman" w:cs="Times New Roman"/>
          <w:sz w:val="28"/>
          <w:szCs w:val="28"/>
        </w:rPr>
        <w:t>е</w:t>
      </w:r>
      <w:r w:rsidRPr="00CB66DC">
        <w:rPr>
          <w:rFonts w:ascii="Times New Roman" w:hAnsi="Times New Roman" w:cs="Times New Roman"/>
          <w:sz w:val="28"/>
          <w:szCs w:val="28"/>
        </w:rPr>
        <w:t xml:space="preserve"> соглашени</w:t>
      </w:r>
      <w:r w:rsidR="00786522">
        <w:rPr>
          <w:rFonts w:ascii="Times New Roman" w:hAnsi="Times New Roman" w:cs="Times New Roman"/>
          <w:sz w:val="28"/>
          <w:szCs w:val="28"/>
        </w:rPr>
        <w:t>я</w:t>
      </w:r>
      <w:r w:rsidRPr="00CB66DC">
        <w:rPr>
          <w:rFonts w:ascii="Times New Roman" w:hAnsi="Times New Roman" w:cs="Times New Roman"/>
          <w:sz w:val="28"/>
          <w:szCs w:val="28"/>
        </w:rPr>
        <w:t xml:space="preserve"> о взаимодействии в сфере ПОД/ФТ.</w:t>
      </w:r>
    </w:p>
    <w:p w14:paraId="7A658A0A" w14:textId="77777777" w:rsidR="009953B4" w:rsidRPr="00786522" w:rsidRDefault="009953B4" w:rsidP="00904AA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A7B178" w14:textId="4B0EC556" w:rsidR="00900981" w:rsidRDefault="000E26D1" w:rsidP="00904AA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 закончен. Спасибо за внимание.</w:t>
      </w:r>
    </w:p>
    <w:p w14:paraId="10B5507B" w14:textId="77777777" w:rsidR="00900981" w:rsidRDefault="00900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1C63B" w14:textId="3E81B225" w:rsidR="000E26D1" w:rsidRPr="007C436D" w:rsidRDefault="007C436D" w:rsidP="00D542C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C436D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CHÚ THÍCH</w:t>
      </w:r>
    </w:p>
    <w:p w14:paraId="0DD1C663" w14:textId="77777777" w:rsidR="005E6922" w:rsidRDefault="005E6922" w:rsidP="00812CE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32A72E3" w14:textId="6DC64D9F" w:rsidR="00E66C1C" w:rsidRDefault="00E66C1C" w:rsidP="00812CE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115-</w:t>
      </w:r>
      <w:r>
        <w:rPr>
          <w:rFonts w:ascii="Times New Roman" w:hAnsi="Times New Roman" w:cs="Times New Roman"/>
          <w:sz w:val="28"/>
          <w:szCs w:val="28"/>
        </w:rPr>
        <w:t>ФЗ</w:t>
      </w:r>
      <w:r w:rsidR="008C29E3">
        <w:rPr>
          <w:rFonts w:ascii="Times New Roman" w:hAnsi="Times New Roman" w:cs="Times New Roman"/>
          <w:sz w:val="28"/>
          <w:szCs w:val="28"/>
        </w:rPr>
        <w:t xml:space="preserve"> </w:t>
      </w:r>
      <w:r w:rsidR="008C29E3" w:rsidRPr="008C29E3">
        <w:rPr>
          <w:rFonts w:ascii="Times New Roman" w:hAnsi="Times New Roman" w:cs="Times New Roman"/>
          <w:sz w:val="28"/>
          <w:szCs w:val="28"/>
        </w:rPr>
        <w:t>"О противодействии легализации (отмыванию) доходов, полученных преступным путем, и финансированию терроризма"</w:t>
      </w:r>
    </w:p>
    <w:p w14:paraId="0AA8974A" w14:textId="77777777" w:rsidR="00F73526" w:rsidRDefault="00F73526" w:rsidP="00812CE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C684C0" w14:textId="2104FAB0" w:rsidR="008C29E3" w:rsidRPr="00372D3A" w:rsidRDefault="00F73526" w:rsidP="00812CE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2D3A">
        <w:rPr>
          <w:rFonts w:ascii="Times New Roman" w:hAnsi="Times New Roman" w:cs="Times New Roman"/>
          <w:sz w:val="28"/>
          <w:szCs w:val="28"/>
          <w:u w:val="single"/>
        </w:rPr>
        <w:t>Глава IV. Международное сотрудничество в сфере борьбы с легализацией (отмыванием) доходов, полученных преступным путем, финансированием терроризма и финансированием распространения оружия массового уничтожения</w:t>
      </w:r>
    </w:p>
    <w:p w14:paraId="41CB2D42" w14:textId="73BAE8ED" w:rsidR="005E6922" w:rsidRPr="00372D3A" w:rsidRDefault="00812CE4" w:rsidP="00812CE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2D3A">
        <w:rPr>
          <w:rFonts w:ascii="Times New Roman" w:hAnsi="Times New Roman" w:cs="Times New Roman"/>
          <w:sz w:val="28"/>
          <w:szCs w:val="28"/>
          <w:u w:val="single"/>
        </w:rPr>
        <w:t>Статья 10. Обмен информацией и правовая помощь</w:t>
      </w:r>
    </w:p>
    <w:p w14:paraId="19435AD2" w14:textId="2BAE52CC" w:rsidR="005E6922" w:rsidRPr="00136532" w:rsidRDefault="00812CE4" w:rsidP="00812CE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CE4">
        <w:rPr>
          <w:rFonts w:ascii="Times New Roman" w:hAnsi="Times New Roman" w:cs="Times New Roman"/>
          <w:sz w:val="28"/>
          <w:szCs w:val="28"/>
        </w:rPr>
        <w:t>Органы государственной власти Российской Федерации, осуществляющие деятельность, связанную с противодействием легализации (отмыванию) доходов, полученных преступным путем, и финансированию терроризма, в соответствии с международными договорами Российской Федерации сотрудничают с компетентными органами иностранных государств на стадиях сбора информации, предварительного расследования, судебного разбирательства и исполнения судебных решений.</w:t>
      </w:r>
    </w:p>
    <w:p w14:paraId="1D713995" w14:textId="28DFC097" w:rsidR="00812CE4" w:rsidRPr="00812CE4" w:rsidRDefault="00812CE4" w:rsidP="00812CE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CE4">
        <w:rPr>
          <w:rFonts w:ascii="Times New Roman" w:hAnsi="Times New Roman" w:cs="Times New Roman"/>
          <w:sz w:val="28"/>
          <w:szCs w:val="28"/>
        </w:rPr>
        <w:t>Уполномоченный орган и иные органы государственной власти Российской Федерации, осуществляющие деятельность, связанную с противодействием легализации (отмыванию) доходов, полученных преступным путем, и финансированию терроризма, предоставляют соответствующую информацию компетентным органам иностранных государств по их запросам или по собственной инициативе в порядке и на основаниях, которые предусмотрены международными договорами Российской Федерации или на основе принципа взаимности.</w:t>
      </w:r>
    </w:p>
    <w:p w14:paraId="6604D66D" w14:textId="613B77BF" w:rsidR="00812CE4" w:rsidRPr="00812CE4" w:rsidRDefault="00812CE4" w:rsidP="00812CE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CE4">
        <w:rPr>
          <w:rFonts w:ascii="Times New Roman" w:hAnsi="Times New Roman" w:cs="Times New Roman"/>
          <w:sz w:val="28"/>
          <w:szCs w:val="28"/>
        </w:rPr>
        <w:t>Передача компетентным органам иностранного государства информации, связанной с выявлением, изъятием и конфискацией доходов, полученных преступным путем, осуществляется в том случае, если она не наносит ущерба интересам национальной безопасности Российской Федерации и может позволить компетентным органам этого государства начать расследование или сформулировать запрос.</w:t>
      </w:r>
    </w:p>
    <w:p w14:paraId="62A30842" w14:textId="77777777" w:rsidR="00812CE4" w:rsidRPr="00812CE4" w:rsidRDefault="00812CE4" w:rsidP="00812CE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CE4">
        <w:rPr>
          <w:rFonts w:ascii="Times New Roman" w:hAnsi="Times New Roman" w:cs="Times New Roman"/>
          <w:sz w:val="28"/>
          <w:szCs w:val="28"/>
        </w:rPr>
        <w:t>Информация, связанная с выявлением, изъятием и конфискацией доходов, полученных преступным путем, предоставляется по запросу компетентного органа иностранного государства при условии, что она не будет использована без предварительного согласия соответствующих органов государственной власти Российской Федерации, предоставивших ее, в целях, не указанных в запросе.</w:t>
      </w:r>
    </w:p>
    <w:p w14:paraId="2380C510" w14:textId="77777777" w:rsidR="00812CE4" w:rsidRPr="00812CE4" w:rsidRDefault="00812CE4" w:rsidP="00812CE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E38761" w14:textId="51301A52" w:rsidR="00812CE4" w:rsidRPr="00812CE4" w:rsidRDefault="00812CE4" w:rsidP="00812CE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CE4">
        <w:rPr>
          <w:rFonts w:ascii="Times New Roman" w:hAnsi="Times New Roman" w:cs="Times New Roman"/>
          <w:sz w:val="28"/>
          <w:szCs w:val="28"/>
        </w:rPr>
        <w:t>Органы государственной власти Российской Федерации направляют в компетентные органы иностранных государств запросы о предоставлении необходимой информации и дают ответы на запросы, сделанные указанными компетентными органами, в порядке, предусмотренном международными договорами Российской Федерации.</w:t>
      </w:r>
    </w:p>
    <w:p w14:paraId="71D6B68F" w14:textId="60162A97" w:rsidR="00812CE4" w:rsidRPr="00812CE4" w:rsidRDefault="00812CE4" w:rsidP="00812CE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CE4">
        <w:rPr>
          <w:rFonts w:ascii="Times New Roman" w:hAnsi="Times New Roman" w:cs="Times New Roman"/>
          <w:sz w:val="28"/>
          <w:szCs w:val="28"/>
        </w:rPr>
        <w:t>Органы государственной власти Российской Федерации, осуществляющие деятельность, связанную с противодействием легализации (отмыванию) доходов, полученных преступным путем, и финансированию терроризма, направившие запрос, обеспечивают конфиденциальность предоставленной информации и используют ее только в целях, указанных в запросе.</w:t>
      </w:r>
    </w:p>
    <w:p w14:paraId="7AE0B40A" w14:textId="0AD12261" w:rsidR="00812CE4" w:rsidRPr="00812CE4" w:rsidRDefault="00812CE4" w:rsidP="00812CE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CE4">
        <w:rPr>
          <w:rFonts w:ascii="Times New Roman" w:hAnsi="Times New Roman" w:cs="Times New Roman"/>
          <w:sz w:val="28"/>
          <w:szCs w:val="28"/>
        </w:rPr>
        <w:t>Органы государственной власти Российской Федерации, осуществляющие деятельность, связанную с противодействием легализации (отмыванию) доходов, полученных преступным путем, и финансированию терроризма, в соответствии с международными договорами Российской Федерации и федеральными законами исполняют в пределах своей компетенции запросы компетентных органов иностранных государств о конфискации доходов, полученных преступным путем, и финансировании терроризма, а также о производстве отдельных процессуальных действий по делам о выявлении доходов, полученных преступным путем, и финансировании терроризма, наложении ареста на имущество, об изъятии имущества, в том числе проводят экспертизы, допросы подозреваемых, обвиняемых, свидетелей, потерпевших и других лиц, обыски, выемки, передают вещественные доказательства, налагают арест на имущество, осуществляют вручение и пересылку документов.</w:t>
      </w:r>
    </w:p>
    <w:p w14:paraId="45048C98" w14:textId="1967E722" w:rsidR="00900981" w:rsidRDefault="00812CE4" w:rsidP="00812CE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2CE4">
        <w:rPr>
          <w:rFonts w:ascii="Times New Roman" w:hAnsi="Times New Roman" w:cs="Times New Roman"/>
          <w:sz w:val="28"/>
          <w:szCs w:val="28"/>
        </w:rPr>
        <w:t>Расходы, связанные с исполнением указанных запросов, возмещаются в соответствии с международными договорами Российской Федерации.</w:t>
      </w:r>
    </w:p>
    <w:p w14:paraId="7C1764E7" w14:textId="35B85045" w:rsidR="003E1E66" w:rsidRPr="00203A36" w:rsidRDefault="003E1E66" w:rsidP="003E1E6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03A36">
        <w:rPr>
          <w:rFonts w:ascii="Times New Roman" w:hAnsi="Times New Roman" w:cs="Times New Roman"/>
          <w:sz w:val="28"/>
          <w:szCs w:val="28"/>
          <w:u w:val="single"/>
        </w:rPr>
        <w:t>Статья 10.1. Информирование компетентных органов иностранных государств 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</w:t>
      </w:r>
    </w:p>
    <w:p w14:paraId="4D66B3AB" w14:textId="2886E2C3" w:rsidR="003E1E66" w:rsidRDefault="003E1E66" w:rsidP="003E1E6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1E66">
        <w:rPr>
          <w:rFonts w:ascii="Times New Roman" w:hAnsi="Times New Roman" w:cs="Times New Roman"/>
          <w:sz w:val="28"/>
          <w:szCs w:val="28"/>
        </w:rPr>
        <w:t xml:space="preserve">Уполномоченный орган во взаимодействии с Центральным банком Российской Федерации в соответствии с международными договорами Российской Федерации и в порядке, определяемом Президентом Российской Федерации, информирует компетентные органы </w:t>
      </w:r>
      <w:r w:rsidRPr="003E1E66">
        <w:rPr>
          <w:rFonts w:ascii="Times New Roman" w:hAnsi="Times New Roman" w:cs="Times New Roman"/>
          <w:sz w:val="28"/>
          <w:szCs w:val="28"/>
        </w:rPr>
        <w:lastRenderedPageBreak/>
        <w:t>иностранных государств в целях реализации ими рекомендаций Группы разработки финансовых мер борьбы с отмыванием денег (ФАТФ) о запрете лицам, замещающим (занимающим) государственные должности Российской Федерации, должности первого заместителя и заместителей Генерального прокурора Российской Федерации, должности членов Совета директоров Центрального банка Российской Федерации, государственные должности субъектов Российской Федерации, должности федеральной государственной службы, назначение на которые и освобождение от которых осуществляются Президентом Российской Федерации, Правительством Российской Федерации или Генеральным прокурором Российской Федерации, должности заместителей руководителей федеральных органов исполнительной власти, должности в государственных корпорациях (компаниях), фондах и иных организациях, созданных на основании федеральных законов, назначение на которые и освобождение от которых осуществляются Президентом Российской Федерации или Правительством Российской Федерации, должности глав городских округов, глав муниципальных округов, глав муниципальных районов, а также супругам и несовершеннолетним детям указанных лиц в случаях, предусмотренных Федеральным законом "О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инструментами",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инструментами. При этом понятие "иностранные финансовые инструменты" используется в значении, определенном указанным Федеральным законом.</w:t>
      </w:r>
    </w:p>
    <w:p w14:paraId="1A038014" w14:textId="155F6F6B" w:rsidR="006F56E0" w:rsidRPr="00730741" w:rsidRDefault="006F56E0" w:rsidP="006F56E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30741">
        <w:rPr>
          <w:rFonts w:ascii="Times New Roman" w:hAnsi="Times New Roman" w:cs="Times New Roman"/>
          <w:sz w:val="28"/>
          <w:szCs w:val="28"/>
          <w:u w:val="single"/>
        </w:rPr>
        <w:t>Статья 10.2. Международное сотрудничество в сфере борьбы с финансированием терроризма и финансированием распространения оружия массового уничтожения</w:t>
      </w:r>
    </w:p>
    <w:p w14:paraId="2AABF62A" w14:textId="25FE47E0" w:rsidR="006F56E0" w:rsidRPr="006F56E0" w:rsidRDefault="006F56E0" w:rsidP="006F56E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56E0">
        <w:rPr>
          <w:rFonts w:ascii="Times New Roman" w:hAnsi="Times New Roman" w:cs="Times New Roman"/>
          <w:sz w:val="28"/>
          <w:szCs w:val="28"/>
        </w:rPr>
        <w:t xml:space="preserve">Федеральный орган исполнительной власти, осуществляющий функции по выработке и реализации государственной политики и нормативно-правовому регулированию в сфере международных отношений Российской Федерации, во взаимодействии с уполномоченным органом и другими заинтересованными органами государственной власти Российской Федерации на основании заключенных с указанными органами соглашений обеспечивает представление интересов Российской Федерации в Совете </w:t>
      </w:r>
      <w:r w:rsidRPr="006F56E0">
        <w:rPr>
          <w:rFonts w:ascii="Times New Roman" w:hAnsi="Times New Roman" w:cs="Times New Roman"/>
          <w:sz w:val="28"/>
          <w:szCs w:val="28"/>
        </w:rPr>
        <w:lastRenderedPageBreak/>
        <w:t>Безопасности ООН и органах, специально созданных решениями Совета Безопасности ООН, по вопросам направления предложений о включении организаций и (или) физических лиц в перечни организаций и физических лиц, связанных с терроризмом или с распространением оружия массового уничтожения, составляемые Советом Безопасности ООН, об исключении организаций и (или) физических лиц из указанных перечней, а также по вопросу отмены примененных в Российской Федерации к организациям и физическим лицам, включенным в указанные перечни, мер по замораживанию (блокированию) денежных средств или иного имущества.</w:t>
      </w:r>
    </w:p>
    <w:p w14:paraId="17E785F6" w14:textId="220F6C3F" w:rsidR="003E1E66" w:rsidRDefault="006F56E0" w:rsidP="006F56E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56E0">
        <w:rPr>
          <w:rFonts w:ascii="Times New Roman" w:hAnsi="Times New Roman" w:cs="Times New Roman"/>
          <w:sz w:val="28"/>
          <w:szCs w:val="28"/>
        </w:rPr>
        <w:t>Решения межгосударственных органов, принятые на основании положений международных договоров Российской Федерации в их истолковании, противоречащем Конституции Российской Федерации, не подлежат исполнению в Российской Федерации. Такое противоречие может быть установлено в порядке, определенном федеральным конституционным законом.</w:t>
      </w:r>
    </w:p>
    <w:p w14:paraId="6609F0B9" w14:textId="0AEE7AAA" w:rsidR="00885FDC" w:rsidRPr="00920E55" w:rsidRDefault="00885FDC" w:rsidP="00885FD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20E55">
        <w:rPr>
          <w:rFonts w:ascii="Times New Roman" w:hAnsi="Times New Roman" w:cs="Times New Roman"/>
          <w:sz w:val="28"/>
          <w:szCs w:val="28"/>
          <w:u w:val="single"/>
        </w:rPr>
        <w:t>Статья 11. Признание приговора (решения), вынесенного судом иностранного государства</w:t>
      </w:r>
    </w:p>
    <w:p w14:paraId="035C0C5F" w14:textId="7B0B9533" w:rsidR="00885FDC" w:rsidRPr="00920E55" w:rsidRDefault="00885FDC" w:rsidP="00885FD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20E55">
        <w:rPr>
          <w:rFonts w:ascii="Times New Roman" w:hAnsi="Times New Roman" w:cs="Times New Roman"/>
          <w:sz w:val="28"/>
          <w:szCs w:val="28"/>
          <w:u w:val="single"/>
        </w:rPr>
        <w:t>В Российской Федерации в соответствии с международными договорами Российской Федерации и федеральными законами признаются вынесенные судами иностранных государств и вступившие в законную силу приговоры (решения) в отношении лиц, имеющих доходы, полученные преступным путем.</w:t>
      </w:r>
    </w:p>
    <w:p w14:paraId="7E63686B" w14:textId="51B298ED" w:rsidR="00885FDC" w:rsidRPr="00885FDC" w:rsidRDefault="00885FDC" w:rsidP="00885FD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5FDC">
        <w:rPr>
          <w:rFonts w:ascii="Times New Roman" w:hAnsi="Times New Roman" w:cs="Times New Roman"/>
          <w:sz w:val="28"/>
          <w:szCs w:val="28"/>
        </w:rPr>
        <w:t>В Российской Федерации в соответствии с международными договорами Российской Федерации признаются и исполняются вынесенные судами иностранных государств и вступившие в законную силу приговоры (решения) о конфискации находящихся на территории Российской Федерации доходов, полученных преступным путем, или эквивалентного им имущества.</w:t>
      </w:r>
    </w:p>
    <w:p w14:paraId="43719BB1" w14:textId="46A9BD4B" w:rsidR="006F56E0" w:rsidRDefault="00885FDC" w:rsidP="00885FD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5FDC">
        <w:rPr>
          <w:rFonts w:ascii="Times New Roman" w:hAnsi="Times New Roman" w:cs="Times New Roman"/>
          <w:sz w:val="28"/>
          <w:szCs w:val="28"/>
        </w:rPr>
        <w:t>Конфискованные доходы, полученные преступным путем, или эквивалентное им имущество могут быть переданы полностью или частично иностранному государству, судом которого вынесено решение о конфискации, на основании соответствующего международного договора Российской Федерации.</w:t>
      </w:r>
    </w:p>
    <w:p w14:paraId="33CE1A4B" w14:textId="041AF79A" w:rsidR="00B83523" w:rsidRPr="00102CEE" w:rsidRDefault="00B83523" w:rsidP="00B835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02CEE">
        <w:rPr>
          <w:rFonts w:ascii="Times New Roman" w:hAnsi="Times New Roman" w:cs="Times New Roman"/>
          <w:sz w:val="28"/>
          <w:szCs w:val="28"/>
          <w:u w:val="single"/>
        </w:rPr>
        <w:t>Статья 12. Выдача и транзитная перевозка</w:t>
      </w:r>
    </w:p>
    <w:p w14:paraId="634DC6C7" w14:textId="4E02A927" w:rsidR="00B83523" w:rsidRPr="00B83523" w:rsidRDefault="00B83523" w:rsidP="00B835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3523">
        <w:rPr>
          <w:rFonts w:ascii="Times New Roman" w:hAnsi="Times New Roman" w:cs="Times New Roman"/>
          <w:sz w:val="28"/>
          <w:szCs w:val="28"/>
        </w:rPr>
        <w:t xml:space="preserve">Решение о выдаче иностранному государству лиц, совершивших преступления, связанные с легализацией (отмыванием) доходов, полученных преступным путем, и финансированием терроризма, принимается на основании обязательств Российской Федерации, вытекающих из международного договора Российской Федерации. В том же </w:t>
      </w:r>
      <w:r w:rsidRPr="00B83523">
        <w:rPr>
          <w:rFonts w:ascii="Times New Roman" w:hAnsi="Times New Roman" w:cs="Times New Roman"/>
          <w:sz w:val="28"/>
          <w:szCs w:val="28"/>
        </w:rPr>
        <w:lastRenderedPageBreak/>
        <w:t>порядке принимается решение о транзитной перевозке указанных лиц по территории Российской Федерации.</w:t>
      </w:r>
    </w:p>
    <w:p w14:paraId="663E20F5" w14:textId="39CFB39C" w:rsidR="00885FDC" w:rsidRDefault="00B83523" w:rsidP="00B835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3523">
        <w:rPr>
          <w:rFonts w:ascii="Times New Roman" w:hAnsi="Times New Roman" w:cs="Times New Roman"/>
          <w:sz w:val="28"/>
          <w:szCs w:val="28"/>
        </w:rPr>
        <w:t>В случае, если у Российской Федерации нет соответствующего договора с иностранным государством, которое запрашивает выдачу, указанные лица могут быть выданы за преступления, связанные с легализацией (отмыванием) доходов, полученных преступным путем, и финансированием терроризма, при условии соблюдения принципа взаимности.</w:t>
      </w:r>
    </w:p>
    <w:p w14:paraId="62BE372C" w14:textId="77777777" w:rsidR="00AF66A5" w:rsidRDefault="00AF66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182060" w14:textId="12BC7416" w:rsidR="00D3005A" w:rsidRPr="00D3005A" w:rsidRDefault="00D3005A" w:rsidP="00B8352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00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Группа разработки финансовых мер борьбы с отмыванием денег (Financial Action Task Force, FATF)</w:t>
      </w:r>
    </w:p>
    <w:p w14:paraId="1AC871F5" w14:textId="602757BC" w:rsidR="00D3005A" w:rsidRPr="001564D2" w:rsidRDefault="00D3005A" w:rsidP="00D3005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3005A">
        <w:rPr>
          <w:rFonts w:ascii="Times New Roman" w:hAnsi="Times New Roman" w:cs="Times New Roman"/>
          <w:sz w:val="28"/>
          <w:szCs w:val="28"/>
        </w:rPr>
        <w:t xml:space="preserve">Группа разработки финансовых мер борьбы с отмыванием денег (Financial Action Task Force, FATF) является межправительственным органом, учрежденным в июле 1989 года в Париже (Франция) по инициативе глав правительств «Группы семи» (G7) в целях реагирования на вызовы и угрозы отмывания денег. В октябре 2001 года ФАТФ расширила свой мандат, включив в него проблемы противодействия финансированию терроризма, а с февраля 2012 года — проблематику предотвращения финансирования распространения оружия массового уничтожения. В настоящее время членами ФАТФ являются 38 стран и 2 международных объединения. Также в работе ФАТФ принимают участие 24 наблюдателя. Ассоциированными членами ФАТФ являются 9 региональных групп по типу ФАТФ. Таким образом, </w:t>
      </w:r>
      <w:r w:rsidRPr="001564D2">
        <w:rPr>
          <w:rFonts w:ascii="Times New Roman" w:hAnsi="Times New Roman" w:cs="Times New Roman"/>
          <w:sz w:val="28"/>
          <w:szCs w:val="28"/>
          <w:u w:val="single"/>
        </w:rPr>
        <w:t>глобальная международная сеть по ПОД/ФТ/ФРОМУ охватывает более 200 государств и территорий.</w:t>
      </w:r>
    </w:p>
    <w:p w14:paraId="25E4011B" w14:textId="1B6AF5FA" w:rsidR="00D3005A" w:rsidRPr="00D3005A" w:rsidRDefault="00D3005A" w:rsidP="00D3005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0486">
        <w:rPr>
          <w:rFonts w:ascii="Times New Roman" w:hAnsi="Times New Roman" w:cs="Times New Roman"/>
          <w:sz w:val="28"/>
          <w:szCs w:val="28"/>
          <w:u w:val="single"/>
        </w:rPr>
        <w:t>ФАТФ разработаны Международные стандарты по противодействию отмыванию денег, финансированию терроризма и финансированию распространения оружия массового уничтожения (Рекомендации ФАТФ), которые должны быть имплементированы в национальные законодательства.</w:t>
      </w:r>
      <w:r w:rsidRPr="00D3005A">
        <w:rPr>
          <w:rFonts w:ascii="Times New Roman" w:hAnsi="Times New Roman" w:cs="Times New Roman"/>
          <w:sz w:val="28"/>
          <w:szCs w:val="28"/>
        </w:rPr>
        <w:t xml:space="preserve"> Рекомендации ФАТФ являются базовым международным документом и основой для создания эффективных систем ПОД/ФТ/ФРОМУ.</w:t>
      </w:r>
    </w:p>
    <w:p w14:paraId="4154422A" w14:textId="66835AA7" w:rsidR="00D3005A" w:rsidRPr="00D3005A" w:rsidRDefault="00D3005A" w:rsidP="00D3005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005A">
        <w:rPr>
          <w:rFonts w:ascii="Times New Roman" w:hAnsi="Times New Roman" w:cs="Times New Roman"/>
          <w:sz w:val="28"/>
          <w:szCs w:val="28"/>
        </w:rPr>
        <w:t>В целях мониторинга соблюдения странами Рекомендаций ФАТФ Группой проводятся взаимные оценки национальных систем ПОД/ФТ/ФРОМУ.</w:t>
      </w:r>
    </w:p>
    <w:p w14:paraId="0661F3E3" w14:textId="106C9960" w:rsidR="00D3005A" w:rsidRPr="00D3005A" w:rsidRDefault="00D3005A" w:rsidP="00D3005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005A">
        <w:rPr>
          <w:rFonts w:ascii="Times New Roman" w:hAnsi="Times New Roman" w:cs="Times New Roman"/>
          <w:sz w:val="28"/>
          <w:szCs w:val="28"/>
        </w:rPr>
        <w:t>Рекомендации ФАТФ регулярно пересматриваются для включения максимально широкого спектра мер борьбы с новыми вызовами и угрозами.</w:t>
      </w:r>
    </w:p>
    <w:p w14:paraId="0789BDA2" w14:textId="76D6029C" w:rsidR="005919C2" w:rsidRDefault="00D3005A" w:rsidP="00D3005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005A">
        <w:rPr>
          <w:rFonts w:ascii="Times New Roman" w:hAnsi="Times New Roman" w:cs="Times New Roman"/>
          <w:sz w:val="28"/>
          <w:szCs w:val="28"/>
        </w:rPr>
        <w:t>Российская Федерация является членом ФАТФ с 2003 года.</w:t>
      </w:r>
    </w:p>
    <w:p w14:paraId="22FE0741" w14:textId="77777777" w:rsidR="008769D4" w:rsidRDefault="008769D4" w:rsidP="00D3005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A45460" w14:textId="77777777" w:rsidR="00C7439B" w:rsidRPr="00C7439B" w:rsidRDefault="00C7439B" w:rsidP="00C7439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(FATF)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1989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Paris,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G7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phó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rửa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2001, FATF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2012,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diệt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, 38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FATF.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, 24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FATF. FATF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FATF. Do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AML / CFT / CPF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lãnh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thổ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>.</w:t>
      </w:r>
    </w:p>
    <w:p w14:paraId="7615A618" w14:textId="77777777" w:rsidR="00C7439B" w:rsidRPr="00C7439B" w:rsidRDefault="00C7439B" w:rsidP="00C7439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439B">
        <w:rPr>
          <w:rFonts w:ascii="Times New Roman" w:hAnsi="Times New Roman" w:cs="Times New Roman"/>
          <w:sz w:val="28"/>
          <w:szCs w:val="28"/>
        </w:rPr>
        <w:lastRenderedPageBreak/>
        <w:t xml:space="preserve">FATF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rửa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diệt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FATF),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FATF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AML / CFT / CPF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>.</w:t>
      </w:r>
    </w:p>
    <w:p w14:paraId="73603CF6" w14:textId="77777777" w:rsidR="00C7439B" w:rsidRPr="00C7439B" w:rsidRDefault="00C7439B" w:rsidP="00C7439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FATF,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AML / CFT / CPF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>.</w:t>
      </w:r>
    </w:p>
    <w:p w14:paraId="486AC910" w14:textId="77777777" w:rsidR="00C7439B" w:rsidRPr="00C7439B" w:rsidRDefault="00C7439B" w:rsidP="00C7439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FATF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>.</w:t>
      </w:r>
    </w:p>
    <w:p w14:paraId="5682EE77" w14:textId="5A32C444" w:rsidR="00C7439B" w:rsidRDefault="00C7439B" w:rsidP="00C7439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bang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FATF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39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7439B">
        <w:rPr>
          <w:rFonts w:ascii="Times New Roman" w:hAnsi="Times New Roman" w:cs="Times New Roman"/>
          <w:sz w:val="28"/>
          <w:szCs w:val="28"/>
        </w:rPr>
        <w:t xml:space="preserve"> 2003.</w:t>
      </w:r>
    </w:p>
    <w:p w14:paraId="3198A4E6" w14:textId="77777777" w:rsidR="00105E0C" w:rsidRDefault="00105E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D0FFC4" w14:textId="4CDF67A9" w:rsidR="00500322" w:rsidRPr="00935B05" w:rsidRDefault="00500322" w:rsidP="00500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B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Совет Европы / Комитет экспертов Совета Европы по оценке мер борьбы с отмыванием денег и финансированием терроризма (МАНИВЭЛ)</w:t>
      </w:r>
    </w:p>
    <w:p w14:paraId="1F457110" w14:textId="3A156E65" w:rsidR="00500322" w:rsidRPr="00500322" w:rsidRDefault="00500322" w:rsidP="00500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0322">
        <w:rPr>
          <w:rFonts w:ascii="Times New Roman" w:hAnsi="Times New Roman" w:cs="Times New Roman"/>
          <w:sz w:val="28"/>
          <w:szCs w:val="28"/>
        </w:rPr>
        <w:t xml:space="preserve">Комитет экспертов Совета Европы по оценке мер борьбы с отмыванием денег и финансированием терроризма (МАНИВЭЛ) (Committee </w:t>
      </w:r>
      <w:proofErr w:type="spellStart"/>
      <w:r w:rsidRPr="0050032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00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322">
        <w:rPr>
          <w:rFonts w:ascii="Times New Roman" w:hAnsi="Times New Roman" w:cs="Times New Roman"/>
          <w:sz w:val="28"/>
          <w:szCs w:val="28"/>
        </w:rPr>
        <w:t>Experts</w:t>
      </w:r>
      <w:proofErr w:type="spellEnd"/>
      <w:r w:rsidRPr="00500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32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00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3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0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322">
        <w:rPr>
          <w:rFonts w:ascii="Times New Roman" w:hAnsi="Times New Roman" w:cs="Times New Roman"/>
          <w:sz w:val="28"/>
          <w:szCs w:val="28"/>
        </w:rPr>
        <w:t>Evaluation</w:t>
      </w:r>
      <w:proofErr w:type="spellEnd"/>
      <w:r w:rsidRPr="00500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32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00322">
        <w:rPr>
          <w:rFonts w:ascii="Times New Roman" w:hAnsi="Times New Roman" w:cs="Times New Roman"/>
          <w:sz w:val="28"/>
          <w:szCs w:val="28"/>
        </w:rPr>
        <w:t xml:space="preserve"> Anti-Money </w:t>
      </w:r>
      <w:proofErr w:type="spellStart"/>
      <w:r w:rsidRPr="00500322">
        <w:rPr>
          <w:rFonts w:ascii="Times New Roman" w:hAnsi="Times New Roman" w:cs="Times New Roman"/>
          <w:sz w:val="28"/>
          <w:szCs w:val="28"/>
        </w:rPr>
        <w:t>Laundering</w:t>
      </w:r>
      <w:proofErr w:type="spellEnd"/>
      <w:r w:rsidRPr="00500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322">
        <w:rPr>
          <w:rFonts w:ascii="Times New Roman" w:hAnsi="Times New Roman" w:cs="Times New Roman"/>
          <w:sz w:val="28"/>
          <w:szCs w:val="28"/>
        </w:rPr>
        <w:t>Measures</w:t>
      </w:r>
      <w:proofErr w:type="spellEnd"/>
      <w:r w:rsidRPr="00500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32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00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32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0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322">
        <w:rPr>
          <w:rFonts w:ascii="Times New Roman" w:hAnsi="Times New Roman" w:cs="Times New Roman"/>
          <w:sz w:val="28"/>
          <w:szCs w:val="28"/>
        </w:rPr>
        <w:t>Financing</w:t>
      </w:r>
      <w:proofErr w:type="spellEnd"/>
      <w:r w:rsidRPr="00500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32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00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322">
        <w:rPr>
          <w:rFonts w:ascii="Times New Roman" w:hAnsi="Times New Roman" w:cs="Times New Roman"/>
          <w:sz w:val="28"/>
          <w:szCs w:val="28"/>
        </w:rPr>
        <w:t>Terrorism</w:t>
      </w:r>
      <w:proofErr w:type="spellEnd"/>
      <w:r w:rsidRPr="00500322">
        <w:rPr>
          <w:rFonts w:ascii="Times New Roman" w:hAnsi="Times New Roman" w:cs="Times New Roman"/>
          <w:sz w:val="28"/>
          <w:szCs w:val="28"/>
        </w:rPr>
        <w:t>, MONEYVAL) создан в 1997 году и является одной из региональных групп по типу ФАТФ. В настоящее время членами МАНИВЭЛ являются 35 государств.</w:t>
      </w:r>
    </w:p>
    <w:p w14:paraId="05D521EF" w14:textId="460F40E3" w:rsidR="008769D4" w:rsidRDefault="00500322" w:rsidP="00500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00322">
        <w:rPr>
          <w:rFonts w:ascii="Times New Roman" w:hAnsi="Times New Roman" w:cs="Times New Roman"/>
          <w:sz w:val="28"/>
          <w:szCs w:val="28"/>
        </w:rPr>
        <w:t>Задачами МАНИВЭЛ являются содействие формированию эффективных национальных систем противодействия отмыванию денег, финансированию терроризма и финансированию распространения оружия массового уничтожения европейских стран и их оценка на предмет соответствия Рекомендациям ФАТФ.</w:t>
      </w:r>
    </w:p>
    <w:p w14:paraId="2158D0ED" w14:textId="77777777" w:rsidR="00FE47D4" w:rsidRDefault="00FE47D4" w:rsidP="00500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8FA5DE" w14:textId="5276E8A7" w:rsidR="00FE47D4" w:rsidRPr="00FE47D4" w:rsidRDefault="00FE47D4" w:rsidP="00FE47D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47D4">
        <w:rPr>
          <w:rFonts w:ascii="Times New Roman" w:hAnsi="Times New Roman" w:cs="Times New Roman"/>
          <w:sz w:val="28"/>
          <w:szCs w:val="28"/>
        </w:rPr>
        <w:t>Ủy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ban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rửa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(MONEYVAL)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, MONEYVAL)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1997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FATF.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, MONEYVAL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35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>.</w:t>
      </w:r>
    </w:p>
    <w:p w14:paraId="3FB9592E" w14:textId="42DB017A" w:rsidR="0085422F" w:rsidRDefault="00FE47D4" w:rsidP="00FE47D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47D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MONEYVAL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rửa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diệt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7D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E47D4">
        <w:rPr>
          <w:rFonts w:ascii="Times New Roman" w:hAnsi="Times New Roman" w:cs="Times New Roman"/>
          <w:sz w:val="28"/>
          <w:szCs w:val="28"/>
        </w:rPr>
        <w:t xml:space="preserve"> FATF.</w:t>
      </w:r>
    </w:p>
    <w:p w14:paraId="13D262A9" w14:textId="77777777" w:rsidR="00E85888" w:rsidRDefault="00E85888" w:rsidP="00FE47D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5B106D" w14:textId="77777777" w:rsidR="00D657B9" w:rsidRDefault="00D657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3C064B" w14:textId="1592C9F9" w:rsidR="00E85888" w:rsidRPr="004D7E2A" w:rsidRDefault="00E85888" w:rsidP="00E8588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7E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Евразийская группа по противодействию легализации преступных доходов и финансированию терроризма (ЕАГ)</w:t>
      </w:r>
    </w:p>
    <w:p w14:paraId="3BD0F4CD" w14:textId="25821EB8" w:rsidR="00E85888" w:rsidRPr="002E1C9D" w:rsidRDefault="00E85888" w:rsidP="00E8588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85888">
        <w:rPr>
          <w:rFonts w:ascii="Times New Roman" w:hAnsi="Times New Roman" w:cs="Times New Roman"/>
          <w:sz w:val="28"/>
          <w:szCs w:val="28"/>
        </w:rPr>
        <w:t>Евразийская группа по противодействию легализации преступных доходов и финансированию терроризма (</w:t>
      </w:r>
      <w:proofErr w:type="spellStart"/>
      <w:r w:rsidRPr="00E85888">
        <w:rPr>
          <w:rFonts w:ascii="Times New Roman" w:hAnsi="Times New Roman" w:cs="Times New Roman"/>
          <w:sz w:val="28"/>
          <w:szCs w:val="28"/>
        </w:rPr>
        <w:t>Eurasian</w:t>
      </w:r>
      <w:proofErr w:type="spellEnd"/>
      <w:r w:rsidRPr="00E85888">
        <w:rPr>
          <w:rFonts w:ascii="Times New Roman" w:hAnsi="Times New Roman" w:cs="Times New Roman"/>
          <w:sz w:val="28"/>
          <w:szCs w:val="28"/>
        </w:rPr>
        <w:t xml:space="preserve"> Group </w:t>
      </w:r>
      <w:proofErr w:type="spellStart"/>
      <w:r w:rsidRPr="00E8588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85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888">
        <w:rPr>
          <w:rFonts w:ascii="Times New Roman" w:hAnsi="Times New Roman" w:cs="Times New Roman"/>
          <w:sz w:val="28"/>
          <w:szCs w:val="28"/>
        </w:rPr>
        <w:t>Combating</w:t>
      </w:r>
      <w:proofErr w:type="spellEnd"/>
      <w:r w:rsidRPr="00E85888">
        <w:rPr>
          <w:rFonts w:ascii="Times New Roman" w:hAnsi="Times New Roman" w:cs="Times New Roman"/>
          <w:sz w:val="28"/>
          <w:szCs w:val="28"/>
        </w:rPr>
        <w:t xml:space="preserve"> Money </w:t>
      </w:r>
      <w:proofErr w:type="spellStart"/>
      <w:r w:rsidRPr="00E85888">
        <w:rPr>
          <w:rFonts w:ascii="Times New Roman" w:hAnsi="Times New Roman" w:cs="Times New Roman"/>
          <w:sz w:val="28"/>
          <w:szCs w:val="28"/>
        </w:rPr>
        <w:t>Laundering</w:t>
      </w:r>
      <w:proofErr w:type="spellEnd"/>
      <w:r w:rsidRPr="00E85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88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85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888">
        <w:rPr>
          <w:rFonts w:ascii="Times New Roman" w:hAnsi="Times New Roman" w:cs="Times New Roman"/>
          <w:sz w:val="28"/>
          <w:szCs w:val="28"/>
        </w:rPr>
        <w:t>Financing</w:t>
      </w:r>
      <w:proofErr w:type="spellEnd"/>
      <w:r w:rsidRPr="00E85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88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85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888">
        <w:rPr>
          <w:rFonts w:ascii="Times New Roman" w:hAnsi="Times New Roman" w:cs="Times New Roman"/>
          <w:sz w:val="28"/>
          <w:szCs w:val="28"/>
        </w:rPr>
        <w:t>Terrorism</w:t>
      </w:r>
      <w:proofErr w:type="spellEnd"/>
      <w:r w:rsidRPr="00E85888">
        <w:rPr>
          <w:rFonts w:ascii="Times New Roman" w:hAnsi="Times New Roman" w:cs="Times New Roman"/>
          <w:sz w:val="28"/>
          <w:szCs w:val="28"/>
        </w:rPr>
        <w:t xml:space="preserve">, EAG) создана в 2004 году </w:t>
      </w:r>
      <w:r w:rsidRPr="002E1C9D">
        <w:rPr>
          <w:rFonts w:ascii="Times New Roman" w:hAnsi="Times New Roman" w:cs="Times New Roman"/>
          <w:sz w:val="28"/>
          <w:szCs w:val="28"/>
          <w:u w:val="single"/>
        </w:rPr>
        <w:t>по инициативе Российской Федерации и является одной из региональных групп по типу ФАТФ.</w:t>
      </w:r>
    </w:p>
    <w:p w14:paraId="390E89C3" w14:textId="568D6EC6" w:rsidR="00E85888" w:rsidRPr="00E85888" w:rsidRDefault="00E85888" w:rsidP="00E8588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5888">
        <w:rPr>
          <w:rFonts w:ascii="Times New Roman" w:hAnsi="Times New Roman" w:cs="Times New Roman"/>
          <w:sz w:val="28"/>
          <w:szCs w:val="28"/>
        </w:rPr>
        <w:t>Государствами-членами ЕАГ являются Беларусь, Индия, Казахстан, Китай, Кыргызстан, Россия, Таджикистан, Туркменистан и Узбекистан. Наблюдателями ЕАГ являются 16 государств и 24 организации.</w:t>
      </w:r>
    </w:p>
    <w:p w14:paraId="73E3FFD3" w14:textId="6AD7A802" w:rsidR="00E85888" w:rsidRPr="00E85888" w:rsidRDefault="00E85888" w:rsidP="00E8588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5888">
        <w:rPr>
          <w:rFonts w:ascii="Times New Roman" w:hAnsi="Times New Roman" w:cs="Times New Roman"/>
          <w:sz w:val="28"/>
          <w:szCs w:val="28"/>
        </w:rPr>
        <w:t xml:space="preserve">Задачами ЕАГ являются содействие своим государствам-членам в </w:t>
      </w:r>
      <w:proofErr w:type="spellStart"/>
      <w:r w:rsidRPr="00E85888">
        <w:rPr>
          <w:rFonts w:ascii="Times New Roman" w:hAnsi="Times New Roman" w:cs="Times New Roman"/>
          <w:sz w:val="28"/>
          <w:szCs w:val="28"/>
        </w:rPr>
        <w:t>имплементировании</w:t>
      </w:r>
      <w:proofErr w:type="spellEnd"/>
      <w:r w:rsidRPr="00E85888">
        <w:rPr>
          <w:rFonts w:ascii="Times New Roman" w:hAnsi="Times New Roman" w:cs="Times New Roman"/>
          <w:sz w:val="28"/>
          <w:szCs w:val="28"/>
        </w:rPr>
        <w:t xml:space="preserve"> Рекомендаций ФАТФ в национальное законодательство в сфере противодействия легализации преступных доходов, финансированию терроризма и финансированию распространения оружия массового уничтожения, осуществление взаимной оценки государств-членов на предмет соответствия национальных режимов в указанной сфере Рекомендациям ФАТФ; разработка и проведение совместных мероприятий, направленных на борьбу с отмыванием денег и финансированием терроризма; координация программ международного сотрудничества и технической помощи со специализированными международными организациями, органами и заинтересованными государствами; анализ тенденций в области отмывания денег и финансирования терроризма и обмен передовой практикой борьбы с такими преступлениями с учетом региональных особенностей.</w:t>
      </w:r>
    </w:p>
    <w:p w14:paraId="1CB924B4" w14:textId="4172DDB2" w:rsidR="00E85888" w:rsidRDefault="00E85888" w:rsidP="00E8588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5888">
        <w:rPr>
          <w:rFonts w:ascii="Times New Roman" w:hAnsi="Times New Roman" w:cs="Times New Roman"/>
          <w:sz w:val="28"/>
          <w:szCs w:val="28"/>
        </w:rPr>
        <w:t xml:space="preserve">Официальный сайт ЕАГ в сети Интернет: </w:t>
      </w:r>
      <w:hyperlink r:id="rId5" w:history="1">
        <w:r w:rsidR="003436B7" w:rsidRPr="004040EC">
          <w:rPr>
            <w:rStyle w:val="Hyperlink"/>
            <w:rFonts w:ascii="Times New Roman" w:hAnsi="Times New Roman" w:cs="Times New Roman"/>
            <w:sz w:val="28"/>
            <w:szCs w:val="28"/>
          </w:rPr>
          <w:t>https://eurasiangroup.org</w:t>
        </w:r>
      </w:hyperlink>
      <w:r w:rsidRPr="00E85888">
        <w:rPr>
          <w:rFonts w:ascii="Times New Roman" w:hAnsi="Times New Roman" w:cs="Times New Roman"/>
          <w:sz w:val="28"/>
          <w:szCs w:val="28"/>
        </w:rPr>
        <w:t>.</w:t>
      </w:r>
    </w:p>
    <w:p w14:paraId="7E0C878E" w14:textId="77777777" w:rsidR="003436B7" w:rsidRDefault="003436B7" w:rsidP="00E8588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F5BA1F" w14:textId="68C092E5" w:rsidR="003436B7" w:rsidRPr="003436B7" w:rsidRDefault="003436B7" w:rsidP="003436B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36B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Á-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rửa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(EAG)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2004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bang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FATF.</w:t>
      </w:r>
    </w:p>
    <w:p w14:paraId="72A3F9D7" w14:textId="4784F787" w:rsidR="003436B7" w:rsidRPr="003436B7" w:rsidRDefault="003436B7" w:rsidP="003436B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EAG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Belarus,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, Kazakhstan,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Kyrgyzstan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Tajikistan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Turkmenistan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Uzbekistan.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EAG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bang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>.</w:t>
      </w:r>
    </w:p>
    <w:p w14:paraId="099D3F1F" w14:textId="63B2F320" w:rsidR="003436B7" w:rsidRPr="003436B7" w:rsidRDefault="003436B7" w:rsidP="003436B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36B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EAG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FATF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rửa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diệt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loạt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FATF;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rửa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lastRenderedPageBreak/>
        <w:t>tâm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rửa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khủng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tội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6B7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3436B7">
        <w:rPr>
          <w:rFonts w:ascii="Times New Roman" w:hAnsi="Times New Roman" w:cs="Times New Roman"/>
          <w:sz w:val="28"/>
          <w:szCs w:val="28"/>
        </w:rPr>
        <w:t>.</w:t>
      </w:r>
    </w:p>
    <w:p w14:paraId="506C15AC" w14:textId="2BD4EC62" w:rsidR="003436B7" w:rsidRPr="00B36596" w:rsidRDefault="003436B7" w:rsidP="003436B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596">
        <w:rPr>
          <w:rFonts w:ascii="Times New Roman" w:hAnsi="Times New Roman" w:cs="Times New Roman"/>
          <w:sz w:val="28"/>
          <w:szCs w:val="28"/>
          <w:lang w:val="en-US"/>
        </w:rPr>
        <w:t xml:space="preserve">Trang web </w:t>
      </w:r>
      <w:proofErr w:type="spellStart"/>
      <w:r w:rsidRPr="00B36596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B36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6596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B36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6596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B36596">
        <w:rPr>
          <w:rFonts w:ascii="Times New Roman" w:hAnsi="Times New Roman" w:cs="Times New Roman"/>
          <w:sz w:val="28"/>
          <w:szCs w:val="28"/>
          <w:lang w:val="en-US"/>
        </w:rPr>
        <w:t xml:space="preserve"> EAG </w:t>
      </w:r>
      <w:proofErr w:type="spellStart"/>
      <w:r w:rsidRPr="00B36596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B36596">
        <w:rPr>
          <w:rFonts w:ascii="Times New Roman" w:hAnsi="Times New Roman" w:cs="Times New Roman"/>
          <w:sz w:val="28"/>
          <w:szCs w:val="28"/>
          <w:lang w:val="en-US"/>
        </w:rPr>
        <w:t xml:space="preserve"> Internet: </w:t>
      </w:r>
      <w:hyperlink r:id="rId6" w:history="1">
        <w:r w:rsidR="00B36596" w:rsidRPr="004040E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https://eurasiangroup.org</w:t>
        </w:r>
      </w:hyperlink>
      <w:r w:rsidRPr="00B365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608D2F" w14:textId="77777777" w:rsidR="00B36596" w:rsidRPr="00723496" w:rsidRDefault="00B36596" w:rsidP="003436B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1F83A" w14:textId="77777777" w:rsidR="00723496" w:rsidRDefault="007234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4B889E6" w14:textId="63260530" w:rsidR="00B36596" w:rsidRDefault="00B36596" w:rsidP="003436B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365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Европейский союз (ЕС)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vi-VN"/>
        </w:rPr>
        <w:t>Liên minh Châu Âu).</w:t>
      </w:r>
    </w:p>
    <w:p w14:paraId="0442D52F" w14:textId="77777777" w:rsidR="00F659FA" w:rsidRDefault="00F659FA" w:rsidP="003436B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8D20630" w14:textId="157938DF" w:rsidR="00F659FA" w:rsidRPr="00C46F83" w:rsidRDefault="00F01F20" w:rsidP="003436B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F83">
        <w:rPr>
          <w:rFonts w:ascii="Times New Roman" w:hAnsi="Times New Roman" w:cs="Times New Roman"/>
          <w:b/>
          <w:bCs/>
          <w:sz w:val="28"/>
          <w:szCs w:val="28"/>
        </w:rPr>
        <w:t>Группа «Эгмонт»</w:t>
      </w:r>
    </w:p>
    <w:p w14:paraId="1E3EC605" w14:textId="56BC1321" w:rsidR="00F01F20" w:rsidRPr="00F01F20" w:rsidRDefault="00F01F20" w:rsidP="00F01F2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F20">
        <w:rPr>
          <w:rFonts w:ascii="Times New Roman" w:hAnsi="Times New Roman" w:cs="Times New Roman"/>
          <w:sz w:val="28"/>
          <w:szCs w:val="28"/>
        </w:rPr>
        <w:t>Росфинмониторинг является членом Группы подразделений финансовой разведки «Эгмонт» с июня 2002 года.</w:t>
      </w:r>
    </w:p>
    <w:p w14:paraId="405EC217" w14:textId="0B4328FB" w:rsidR="00F01F20" w:rsidRPr="00F01F20" w:rsidRDefault="00F01F20" w:rsidP="00F01F2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F20">
        <w:rPr>
          <w:rFonts w:ascii="Times New Roman" w:hAnsi="Times New Roman" w:cs="Times New Roman"/>
          <w:sz w:val="28"/>
          <w:szCs w:val="28"/>
        </w:rPr>
        <w:t>Группа «Эгмонт» объединяет подразделения финансовой разведки (ПФР) 166 юрисдикций и предоставляет своим членам возможность обмена информацией по специальному защищенному каналу связи. Вступление в данное объединение подтвердило соответствие российской финансовой разведки международным стандартам в сфере ПОД/ФТ и предоставило дополнительные возможности взаимодействия между ПФР.</w:t>
      </w:r>
    </w:p>
    <w:p w14:paraId="17E5897A" w14:textId="2BB02FB9" w:rsidR="00F01F20" w:rsidRPr="00F01F20" w:rsidRDefault="00F01F20" w:rsidP="00F01F2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F20">
        <w:rPr>
          <w:rFonts w:ascii="Times New Roman" w:hAnsi="Times New Roman" w:cs="Times New Roman"/>
          <w:sz w:val="28"/>
          <w:szCs w:val="28"/>
        </w:rPr>
        <w:t>По рекомендации и при активном содействии Росфинмониторинга членами Группы «Эгмонт» в период с 2004 по 2019 гг. стали ПФР Азербайджана, Армении, Белоруссии, Грузии, Казахстана, Кыргызстана, Молдавии, Сербии, Таджикистана, Туркменистана, Узбекистана и Украины.</w:t>
      </w:r>
    </w:p>
    <w:p w14:paraId="02D1F855" w14:textId="067C7108" w:rsidR="00F01F20" w:rsidRPr="00F01F20" w:rsidRDefault="00F01F20" w:rsidP="00F01F2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F20">
        <w:rPr>
          <w:rFonts w:ascii="Times New Roman" w:hAnsi="Times New Roman" w:cs="Times New Roman"/>
          <w:sz w:val="28"/>
          <w:szCs w:val="28"/>
        </w:rPr>
        <w:t xml:space="preserve">В июле 2012 года в г. Санкт-Петербурге прошло 20-е Пленарное заседание Группы «Эгмонт», уровень организации которого получил высокую оценку ПФР-членов, и председательствующего на тот момент </w:t>
      </w:r>
      <w:proofErr w:type="spellStart"/>
      <w:r w:rsidRPr="00F01F20">
        <w:rPr>
          <w:rFonts w:ascii="Times New Roman" w:hAnsi="Times New Roman" w:cs="Times New Roman"/>
          <w:sz w:val="28"/>
          <w:szCs w:val="28"/>
        </w:rPr>
        <w:t>Боудвийна</w:t>
      </w:r>
      <w:proofErr w:type="spellEnd"/>
      <w:r w:rsidRPr="00F01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F20">
        <w:rPr>
          <w:rFonts w:ascii="Times New Roman" w:hAnsi="Times New Roman" w:cs="Times New Roman"/>
          <w:sz w:val="28"/>
          <w:szCs w:val="28"/>
        </w:rPr>
        <w:t>Верхельста</w:t>
      </w:r>
      <w:proofErr w:type="spellEnd"/>
      <w:r w:rsidRPr="00F01F20">
        <w:rPr>
          <w:rFonts w:ascii="Times New Roman" w:hAnsi="Times New Roman" w:cs="Times New Roman"/>
          <w:sz w:val="28"/>
          <w:szCs w:val="28"/>
        </w:rPr>
        <w:t xml:space="preserve"> (Бельгия).</w:t>
      </w:r>
    </w:p>
    <w:p w14:paraId="7C50A3B7" w14:textId="0F78F59B" w:rsidR="00F01F20" w:rsidRPr="00F01F20" w:rsidRDefault="00F01F20" w:rsidP="00F01F2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F20">
        <w:rPr>
          <w:rFonts w:ascii="Times New Roman" w:hAnsi="Times New Roman" w:cs="Times New Roman"/>
          <w:sz w:val="28"/>
          <w:szCs w:val="28"/>
        </w:rPr>
        <w:t xml:space="preserve">В 2013 году Группа «Эгмонт» приняла официальное определение понятия «подразделение финансовой разведки» в том виде, как оно приведено в тексте </w:t>
      </w:r>
      <w:proofErr w:type="gramStart"/>
      <w:r w:rsidRPr="00F01F20">
        <w:rPr>
          <w:rFonts w:ascii="Times New Roman" w:hAnsi="Times New Roman" w:cs="Times New Roman"/>
          <w:sz w:val="28"/>
          <w:szCs w:val="28"/>
        </w:rPr>
        <w:t>29-ой</w:t>
      </w:r>
      <w:proofErr w:type="gramEnd"/>
      <w:r w:rsidRPr="00F01F20">
        <w:rPr>
          <w:rFonts w:ascii="Times New Roman" w:hAnsi="Times New Roman" w:cs="Times New Roman"/>
          <w:sz w:val="28"/>
          <w:szCs w:val="28"/>
        </w:rPr>
        <w:t xml:space="preserve"> Рекомендации ФАТФ и Пояснительной записке к ней. В принятом в том же году Уставе была вновь подтверждена приверженность Группы «Эгмонт» Рекомендациям ФАТФ. В 2014 году Группа усилила свое присутствие на глобальном уровне путем создания 8 региональных групп, в основном совпадающих с составом участников Региональных групп по типу ФАТФ (РГТФ). В период с 2015 по 2022 гг. Росфинмониторинг осуществлял функции официального представителя региона «Евразия» в составе координирующего органа – Комитета «Эгмонт».</w:t>
      </w:r>
    </w:p>
    <w:p w14:paraId="36018AE0" w14:textId="2D42816F" w:rsidR="00F01F20" w:rsidRPr="00F01F20" w:rsidRDefault="00F01F20" w:rsidP="00F01F2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F20">
        <w:rPr>
          <w:rFonts w:ascii="Times New Roman" w:hAnsi="Times New Roman" w:cs="Times New Roman"/>
          <w:sz w:val="28"/>
          <w:szCs w:val="28"/>
        </w:rPr>
        <w:t xml:space="preserve">С июля 2022 года Председателем Группы «Эгмонт» является представительница ЮАР </w:t>
      </w:r>
      <w:proofErr w:type="spellStart"/>
      <w:r w:rsidRPr="00F01F20">
        <w:rPr>
          <w:rFonts w:ascii="Times New Roman" w:hAnsi="Times New Roman" w:cs="Times New Roman"/>
          <w:sz w:val="28"/>
          <w:szCs w:val="28"/>
        </w:rPr>
        <w:t>Ксолисиле</w:t>
      </w:r>
      <w:proofErr w:type="spellEnd"/>
      <w:r w:rsidRPr="00F01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F20">
        <w:rPr>
          <w:rFonts w:ascii="Times New Roman" w:hAnsi="Times New Roman" w:cs="Times New Roman"/>
          <w:sz w:val="28"/>
          <w:szCs w:val="28"/>
        </w:rPr>
        <w:t>Кханийле</w:t>
      </w:r>
      <w:proofErr w:type="spellEnd"/>
      <w:r w:rsidRPr="00F01F20">
        <w:rPr>
          <w:rFonts w:ascii="Times New Roman" w:hAnsi="Times New Roman" w:cs="Times New Roman"/>
          <w:sz w:val="28"/>
          <w:szCs w:val="28"/>
        </w:rPr>
        <w:t>.</w:t>
      </w:r>
    </w:p>
    <w:p w14:paraId="74BFB7C1" w14:textId="36A48894" w:rsidR="00F01F20" w:rsidRDefault="00F01F20" w:rsidP="00F01F2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1F20">
        <w:rPr>
          <w:rFonts w:ascii="Times New Roman" w:hAnsi="Times New Roman" w:cs="Times New Roman"/>
          <w:sz w:val="28"/>
          <w:szCs w:val="28"/>
        </w:rPr>
        <w:t xml:space="preserve">Более подробная информация о деятельности Группы «Эгмонт» представлена на официальном сайте организации: </w:t>
      </w:r>
      <w:hyperlink r:id="rId7" w:history="1">
        <w:r w:rsidR="000B0A54" w:rsidRPr="004040EC">
          <w:rPr>
            <w:rStyle w:val="Hyperlink"/>
            <w:rFonts w:ascii="Times New Roman" w:hAnsi="Times New Roman" w:cs="Times New Roman"/>
            <w:sz w:val="28"/>
            <w:szCs w:val="28"/>
          </w:rPr>
          <w:t>www.egmontgroup.org</w:t>
        </w:r>
      </w:hyperlink>
      <w:r w:rsidRPr="00F01F20">
        <w:rPr>
          <w:rFonts w:ascii="Times New Roman" w:hAnsi="Times New Roman" w:cs="Times New Roman"/>
          <w:sz w:val="28"/>
          <w:szCs w:val="28"/>
        </w:rPr>
        <w:t>.</w:t>
      </w:r>
    </w:p>
    <w:p w14:paraId="260B56F4" w14:textId="77777777" w:rsidR="000B0A54" w:rsidRDefault="000B0A54" w:rsidP="00F01F2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B5650F" w14:textId="0F6C8A57" w:rsidR="000B0A54" w:rsidRPr="000B0A54" w:rsidRDefault="000B0A54" w:rsidP="000B0A5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0A54">
        <w:rPr>
          <w:rFonts w:ascii="Times New Roman" w:hAnsi="Times New Roman" w:cs="Times New Roman"/>
          <w:sz w:val="28"/>
          <w:szCs w:val="28"/>
        </w:rPr>
        <w:lastRenderedPageBreak/>
        <w:t>Rosfinmonitoring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Egmont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2002.</w:t>
      </w:r>
    </w:p>
    <w:p w14:paraId="77527304" w14:textId="6C1115E9" w:rsidR="000B0A54" w:rsidRPr="000B0A54" w:rsidRDefault="000B0A54" w:rsidP="000B0A5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Egmont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(FIU)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166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tin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qua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AML / CFT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FIU.</w:t>
      </w:r>
    </w:p>
    <w:p w14:paraId="4C340406" w14:textId="612FECCF" w:rsidR="000B0A54" w:rsidRPr="000B0A54" w:rsidRDefault="000B0A54" w:rsidP="000B0A5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Rosfinmonitoring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, FIU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Armenia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Azerbaijan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, Belarus, Georgia, Kazakhstan,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Kyrgyzstan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, Moldova,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Serbia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Tajikistan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Turkmenistan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, Uzbekistan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Ukraine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Egmont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2004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31F58E60" w14:textId="1B440923" w:rsidR="000B0A54" w:rsidRPr="000B0A54" w:rsidRDefault="000B0A54" w:rsidP="000B0A5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2012,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Egmont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St.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Petersburg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FIU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Boudwijn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Verhelst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Bỉ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>.</w:t>
      </w:r>
    </w:p>
    <w:p w14:paraId="750D79DA" w14:textId="49C5CF55" w:rsidR="000B0A54" w:rsidRPr="000B0A54" w:rsidRDefault="000B0A54" w:rsidP="000B0A5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2013,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Egmont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qua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FATF 29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qua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cam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Egmont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FATF.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2014,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FATF (FSRB).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2015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2022,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Rosfinmonitoring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Á-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Ủy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ban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Egmont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>.</w:t>
      </w:r>
    </w:p>
    <w:p w14:paraId="5F3E25FF" w14:textId="55106939" w:rsidR="000B0A54" w:rsidRPr="000B0A54" w:rsidRDefault="000B0A54" w:rsidP="000B0A5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0A54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7/2022,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Egmont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Xolisile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Khanile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tịch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>.</w:t>
      </w:r>
    </w:p>
    <w:p w14:paraId="149BCFEF" w14:textId="6E448359" w:rsidR="000B0A54" w:rsidRPr="00F01F20" w:rsidRDefault="000B0A54" w:rsidP="000B0A5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tin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chi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Egmont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A5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B0A54">
        <w:rPr>
          <w:rFonts w:ascii="Times New Roman" w:hAnsi="Times New Roman" w:cs="Times New Roman"/>
          <w:sz w:val="28"/>
          <w:szCs w:val="28"/>
        </w:rPr>
        <w:t>: www.egmontgroup.org.</w:t>
      </w:r>
    </w:p>
    <w:sectPr w:rsidR="000B0A54" w:rsidRPr="00F01F20" w:rsidSect="00254FC5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D2BCD"/>
    <w:multiLevelType w:val="hybridMultilevel"/>
    <w:tmpl w:val="4718D8FC"/>
    <w:lvl w:ilvl="0" w:tplc="FDB255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F433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877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FC4E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EAC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C422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B0F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2A89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A40B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771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89"/>
    <w:rsid w:val="000120FC"/>
    <w:rsid w:val="000B0A54"/>
    <w:rsid w:val="000E26D1"/>
    <w:rsid w:val="00102CEE"/>
    <w:rsid w:val="00105E0C"/>
    <w:rsid w:val="001334FC"/>
    <w:rsid w:val="00136532"/>
    <w:rsid w:val="001442F2"/>
    <w:rsid w:val="001564D2"/>
    <w:rsid w:val="00195C50"/>
    <w:rsid w:val="001F798B"/>
    <w:rsid w:val="00203A36"/>
    <w:rsid w:val="00254FC5"/>
    <w:rsid w:val="002604FD"/>
    <w:rsid w:val="0029659F"/>
    <w:rsid w:val="002E1C9D"/>
    <w:rsid w:val="003024DB"/>
    <w:rsid w:val="003035BF"/>
    <w:rsid w:val="00306A25"/>
    <w:rsid w:val="003436B7"/>
    <w:rsid w:val="00372D3A"/>
    <w:rsid w:val="003E1E66"/>
    <w:rsid w:val="00413489"/>
    <w:rsid w:val="00465EC5"/>
    <w:rsid w:val="004849EA"/>
    <w:rsid w:val="004D7E2A"/>
    <w:rsid w:val="004E2E40"/>
    <w:rsid w:val="00500322"/>
    <w:rsid w:val="005919C2"/>
    <w:rsid w:val="00593599"/>
    <w:rsid w:val="005E6922"/>
    <w:rsid w:val="00645847"/>
    <w:rsid w:val="006909D3"/>
    <w:rsid w:val="0069766E"/>
    <w:rsid w:val="006A52A9"/>
    <w:rsid w:val="006F56E0"/>
    <w:rsid w:val="00723496"/>
    <w:rsid w:val="00730741"/>
    <w:rsid w:val="00763489"/>
    <w:rsid w:val="007824E2"/>
    <w:rsid w:val="00786522"/>
    <w:rsid w:val="007C436D"/>
    <w:rsid w:val="008048DB"/>
    <w:rsid w:val="00806CBE"/>
    <w:rsid w:val="00810D97"/>
    <w:rsid w:val="00812CE4"/>
    <w:rsid w:val="0085422F"/>
    <w:rsid w:val="00860239"/>
    <w:rsid w:val="00861B33"/>
    <w:rsid w:val="0087195E"/>
    <w:rsid w:val="008769D4"/>
    <w:rsid w:val="00884F94"/>
    <w:rsid w:val="00885FDC"/>
    <w:rsid w:val="008B36DE"/>
    <w:rsid w:val="008C29E3"/>
    <w:rsid w:val="00900981"/>
    <w:rsid w:val="00904AA7"/>
    <w:rsid w:val="00920E55"/>
    <w:rsid w:val="00935B05"/>
    <w:rsid w:val="00957AAC"/>
    <w:rsid w:val="009953B4"/>
    <w:rsid w:val="009A0D6A"/>
    <w:rsid w:val="009A5B7E"/>
    <w:rsid w:val="009C039F"/>
    <w:rsid w:val="009E635F"/>
    <w:rsid w:val="00A54A30"/>
    <w:rsid w:val="00AF2001"/>
    <w:rsid w:val="00AF66A5"/>
    <w:rsid w:val="00B065B6"/>
    <w:rsid w:val="00B36596"/>
    <w:rsid w:val="00B7332B"/>
    <w:rsid w:val="00B83523"/>
    <w:rsid w:val="00BF61F9"/>
    <w:rsid w:val="00C42388"/>
    <w:rsid w:val="00C44916"/>
    <w:rsid w:val="00C46F83"/>
    <w:rsid w:val="00C546A8"/>
    <w:rsid w:val="00C571A3"/>
    <w:rsid w:val="00C629E7"/>
    <w:rsid w:val="00C7439B"/>
    <w:rsid w:val="00C94461"/>
    <w:rsid w:val="00CB1606"/>
    <w:rsid w:val="00CB66DC"/>
    <w:rsid w:val="00CD6C2A"/>
    <w:rsid w:val="00CF4624"/>
    <w:rsid w:val="00D020B6"/>
    <w:rsid w:val="00D2013A"/>
    <w:rsid w:val="00D3005A"/>
    <w:rsid w:val="00D47E9C"/>
    <w:rsid w:val="00D542C2"/>
    <w:rsid w:val="00D657B9"/>
    <w:rsid w:val="00E326F0"/>
    <w:rsid w:val="00E66C1C"/>
    <w:rsid w:val="00E85888"/>
    <w:rsid w:val="00E92C35"/>
    <w:rsid w:val="00EC179D"/>
    <w:rsid w:val="00EE5D16"/>
    <w:rsid w:val="00F01F20"/>
    <w:rsid w:val="00F4693D"/>
    <w:rsid w:val="00F659FA"/>
    <w:rsid w:val="00F71CCA"/>
    <w:rsid w:val="00F73526"/>
    <w:rsid w:val="00F80486"/>
    <w:rsid w:val="00FE3D31"/>
    <w:rsid w:val="00FE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1E5D"/>
  <w15:chartTrackingRefBased/>
  <w15:docId w15:val="{529CADA8-1139-4769-847B-B5F3CCF7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4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2C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631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31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39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0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3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82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73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20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4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3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85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32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320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0032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805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43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1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5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72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7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121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058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gmontgrou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asiangroup.org" TargetMode="External"/><Relationship Id="rId5" Type="http://schemas.openxmlformats.org/officeDocument/2006/relationships/hyperlink" Target="https://eurasiangroup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3562</Words>
  <Characters>20305</Characters>
  <Application>Microsoft Office Word</Application>
  <DocSecurity>0</DocSecurity>
  <Lines>169</Lines>
  <Paragraphs>47</Paragraphs>
  <ScaleCrop>false</ScaleCrop>
  <Company/>
  <LinksUpToDate>false</LinksUpToDate>
  <CharactersWithSpaces>23820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Lê</dc:creator>
  <cp:keywords/>
  <dc:description/>
  <cp:lastModifiedBy>Dũng Lê</cp:lastModifiedBy>
  <cp:revision>100</cp:revision>
  <dcterms:created xsi:type="dcterms:W3CDTF">2024-09-18T21:59:00Z</dcterms:created>
  <dcterms:modified xsi:type="dcterms:W3CDTF">2024-09-20T13:20:00Z</dcterms:modified>
</cp:coreProperties>
</file>