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rial" w:hAnsi="Arial"/>
          <w:b/>
          <w:color w:val="123A5A"/>
          <w:sz w:val="52"/>
        </w:rPr>
        <w:t>Next Actions and No-Load Lab Readiness Audit</w:t>
      </w:r>
    </w:p>
    <w:p>
      <w:pPr>
        <w:jc w:val="center"/>
      </w:pPr>
      <w:r>
        <w:rPr>
          <w:rFonts w:ascii="Arial" w:hAnsi="Arial"/>
          <w:color w:val="1F5D85"/>
          <w:sz w:val="28"/>
        </w:rPr>
        <w:t>Current Repository Review and Practical Test Plan</w:t>
      </w:r>
    </w:p>
    <w:tbl>
      <w:tblPr>
        <w:tblW w:type="auto" w:w="0"/>
        <w:jc w:val="center"/>
        <w:tblLayout w:type="fixed"/>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2448"/>
        <w:gridCol w:w="6912"/>
      </w:tblGrid>
      <w:tr>
        <w:tc>
          <w:tcPr>
            <w:tcW w:type="dxa" w:w="5083"/>
            <w:shd w:fill="EAF3F8"/>
            <w:tcMar>
              <w:top w:w="100" w:type="dxa"/>
              <w:start w:w="110" w:type="dxa"/>
              <w:bottom w:w="100" w:type="dxa"/>
              <w:end w:w="110" w:type="dxa"/>
            </w:tcMar>
            <w:vAlign w:val="center"/>
          </w:tcPr>
          <w:p>
            <w:pPr>
              <w:spacing w:after="0"/>
            </w:pPr>
            <w:r>
              <w:rPr>
                <w:rFonts w:ascii="Arial" w:hAnsi="Arial"/>
                <w:b/>
                <w:color w:val="123A5A"/>
                <w:sz w:val="20"/>
              </w:rPr>
              <w:t>Robot</w:t>
            </w:r>
          </w:p>
        </w:tc>
        <w:tc>
          <w:tcPr>
            <w:tcW w:type="dxa" w:w="5083"/>
            <w:tcMar>
              <w:top w:w="100" w:type="dxa"/>
              <w:start w:w="110" w:type="dxa"/>
              <w:bottom w:w="100" w:type="dxa"/>
              <w:end w:w="110" w:type="dxa"/>
            </w:tcMar>
            <w:vAlign w:val="center"/>
          </w:tcPr>
          <w:p>
            <w:pPr>
              <w:spacing w:after="0"/>
            </w:pPr>
            <w:r>
              <w:rPr>
                <w:rFonts w:ascii="Arial" w:hAnsi="Arial"/>
                <w:sz w:val="20"/>
              </w:rPr>
              <w:t>6-DOF igus ReBeL using CRI/API-level telemetry</w:t>
            </w:r>
          </w:p>
        </w:tc>
      </w:tr>
      <w:tr>
        <w:tc>
          <w:tcPr>
            <w:tcW w:type="dxa" w:w="5083"/>
            <w:shd w:fill="EAF3F8"/>
            <w:tcMar>
              <w:top w:w="100" w:type="dxa"/>
              <w:start w:w="110" w:type="dxa"/>
              <w:bottom w:w="100" w:type="dxa"/>
              <w:end w:w="110" w:type="dxa"/>
            </w:tcMar>
            <w:vAlign w:val="center"/>
          </w:tcPr>
          <w:p>
            <w:pPr>
              <w:spacing w:after="0"/>
            </w:pPr>
            <w:r>
              <w:rPr>
                <w:rFonts w:ascii="Arial" w:hAnsi="Arial"/>
                <w:b/>
                <w:color w:val="123A5A"/>
                <w:sz w:val="20"/>
              </w:rPr>
              <w:t>Repository</w:t>
            </w:r>
          </w:p>
        </w:tc>
        <w:tc>
          <w:tcPr>
            <w:tcW w:type="dxa" w:w="5083"/>
            <w:tcMar>
              <w:top w:w="100" w:type="dxa"/>
              <w:start w:w="110" w:type="dxa"/>
              <w:bottom w:w="100" w:type="dxa"/>
              <w:end w:w="110" w:type="dxa"/>
            </w:tcMar>
            <w:vAlign w:val="center"/>
          </w:tcPr>
          <w:p>
            <w:pPr>
              <w:spacing w:after="0"/>
            </w:pPr>
            <w:r>
              <w:rPr>
                <w:rFonts w:ascii="Arial" w:hAnsi="Arial"/>
                <w:sz w:val="20"/>
              </w:rPr>
              <w:t>github.com/dungnguyen15213/6DOF-Rebel-Cobot-Control</w:t>
            </w:r>
          </w:p>
        </w:tc>
      </w:tr>
      <w:tr>
        <w:tc>
          <w:tcPr>
            <w:tcW w:type="dxa" w:w="5083"/>
            <w:shd w:fill="EAF3F8"/>
            <w:tcMar>
              <w:top w:w="100" w:type="dxa"/>
              <w:start w:w="110" w:type="dxa"/>
              <w:bottom w:w="100" w:type="dxa"/>
              <w:end w:w="110" w:type="dxa"/>
            </w:tcMar>
            <w:vAlign w:val="center"/>
          </w:tcPr>
          <w:p>
            <w:pPr>
              <w:spacing w:after="0"/>
            </w:pPr>
            <w:r>
              <w:rPr>
                <w:rFonts w:ascii="Arial" w:hAnsi="Arial"/>
                <w:b/>
                <w:color w:val="123A5A"/>
                <w:sz w:val="20"/>
              </w:rPr>
              <w:t>Integrated review</w:t>
            </w:r>
          </w:p>
        </w:tc>
        <w:tc>
          <w:tcPr>
            <w:tcW w:type="dxa" w:w="5083"/>
            <w:tcMar>
              <w:top w:w="100" w:type="dxa"/>
              <w:start w:w="110" w:type="dxa"/>
              <w:bottom w:w="100" w:type="dxa"/>
              <w:end w:w="110" w:type="dxa"/>
            </w:tcMar>
            <w:vAlign w:val="center"/>
          </w:tcPr>
          <w:p>
            <w:pPr>
              <w:spacing w:after="0"/>
            </w:pPr>
            <w:r>
              <w:rPr>
                <w:rFonts w:ascii="Arial" w:hAnsi="Arial"/>
                <w:sz w:val="20"/>
              </w:rPr>
              <w:t>1 October 2026</w:t>
            </w:r>
          </w:p>
        </w:tc>
      </w:tr>
    </w:tbl>
    <w:p>
      <w:pPr>
        <w:spacing w:before="400"/>
        <w:jc w:val="center"/>
      </w:pPr>
      <w:r>
        <w:rPr>
          <w:i/>
          <w:color w:val="667085"/>
          <w:sz w:val="19"/>
        </w:rPr>
        <w:t>Prepared from the current public repository and the supplied research roadmap, mathematical brief, latency review, and manuscript concept.</w:t>
      </w:r>
    </w:p>
    <w:p>
      <w:r>
        <w:br w:type="page"/>
      </w:r>
    </w:p>
    <w:p>
      <w:pPr>
        <w:pStyle w:val="Heading1"/>
      </w:pPr>
      <w:r>
        <w:t>Executive decision</w:t>
      </w:r>
    </w:p>
    <w:tbl>
      <w:tblPr>
        <w:tblW w:type="auto" w:w="0"/>
        <w:jc w:val="center"/>
        <w:tblLayout w:type="fixed"/>
        <w:tblLook w:firstColumn="1" w:firstRow="1" w:lastColumn="0" w:lastRow="0" w:noHBand="0" w:noVBand="1" w:val="04A0"/>
        <w:tblBorders>
          <w:top w:val="single" w:sz="1" w:space="0" w:color="FFF5DC"/>
          <w:left w:val="single" w:sz="1" w:space="0" w:color="FFF5DC"/>
          <w:bottom w:val="single" w:sz="1" w:space="0" w:color="FFF5DC"/>
          <w:right w:val="single" w:sz="1" w:space="0" w:color="FFF5DC"/>
          <w:insideH w:val="single" w:sz="1" w:space="0" w:color="FFF5DC"/>
          <w:insideV w:val="single" w:sz="1" w:space="0" w:color="FFF5DC"/>
        </w:tblBorders>
      </w:tblPr>
      <w:tblGrid>
        <w:gridCol w:w="2088"/>
        <w:gridCol w:w="7776"/>
      </w:tblGrid>
      <w:tr>
        <w:tc>
          <w:tcPr>
            <w:tcW w:type="dxa" w:w="5083"/>
            <w:shd w:fill="FFF5DC"/>
            <w:tcMar>
              <w:top w:w="115" w:type="dxa"/>
              <w:start w:w="120" w:type="dxa"/>
              <w:bottom w:w="115" w:type="dxa"/>
              <w:end w:w="120" w:type="dxa"/>
            </w:tcMar>
            <w:vAlign w:val="center"/>
          </w:tcPr>
          <w:p>
            <w:pPr>
              <w:spacing w:after="0"/>
            </w:pPr>
            <w:r>
              <w:rPr>
                <w:rFonts w:ascii="Arial" w:hAnsi="Arial"/>
                <w:b/>
                <w:color w:val="B7791F"/>
                <w:sz w:val="20"/>
              </w:rPr>
              <w:t>Verdict</w:t>
            </w:r>
          </w:p>
        </w:tc>
        <w:tc>
          <w:tcPr>
            <w:tcW w:type="dxa" w:w="5083"/>
            <w:shd w:fill="FFF5DC"/>
            <w:tcMar>
              <w:top w:w="115" w:type="dxa"/>
              <w:start w:w="120" w:type="dxa"/>
              <w:bottom w:w="115" w:type="dxa"/>
              <w:end w:w="120" w:type="dxa"/>
            </w:tcMar>
            <w:vAlign w:val="center"/>
          </w:tcPr>
          <w:p>
            <w:pPr>
              <w:spacing w:after="0"/>
            </w:pPr>
            <w:r>
              <w:rPr>
                <w:rFonts w:ascii="Arial" w:hAnsi="Arial"/>
                <w:sz w:val="20"/>
              </w:rPr>
              <w:t>CONDITIONALLY READY. The repository can be taken to the lab now for a short, controlled no-load commissioning/dry test. It is close to ready for the full no-load identification campaign, but three small data-integrity/threading risks should be fixed or explicitly cleared by the dry test before collecting the dataset that will support the paper.</w:t>
            </w:r>
          </w:p>
        </w:tc>
      </w:tr>
    </w:tbl>
    <w:p>
      <w:pPr>
        <w:spacing w:after="20"/>
      </w:pPr>
    </w:p>
    <w:tbl>
      <w:tblPr>
        <w:tblW w:type="auto" w:w="0"/>
        <w:jc w:val="center"/>
        <w:tblLayout w:type="fixed"/>
        <w:tblLook w:firstColumn="1" w:firstRow="1" w:lastColumn="0" w:lastRow="0" w:noHBand="0" w:noVBand="1" w:val="04A0"/>
        <w:tblBorders>
          <w:top w:val="single" w:sz="1" w:space="0" w:color="EAF4ED"/>
          <w:left w:val="single" w:sz="1" w:space="0" w:color="EAF4ED"/>
          <w:bottom w:val="single" w:sz="1" w:space="0" w:color="EAF4ED"/>
          <w:right w:val="single" w:sz="1" w:space="0" w:color="EAF4ED"/>
          <w:insideH w:val="single" w:sz="1" w:space="0" w:color="EAF4ED"/>
          <w:insideV w:val="single" w:sz="1" w:space="0" w:color="EAF4ED"/>
        </w:tblBorders>
      </w:tblPr>
      <w:tblGrid>
        <w:gridCol w:w="2088"/>
        <w:gridCol w:w="7776"/>
      </w:tblGrid>
      <w:tr>
        <w:tc>
          <w:tcPr>
            <w:tcW w:type="dxa" w:w="5083"/>
            <w:shd w:fill="EAF4ED"/>
            <w:tcMar>
              <w:top w:w="115" w:type="dxa"/>
              <w:start w:w="120" w:type="dxa"/>
              <w:bottom w:w="115" w:type="dxa"/>
              <w:end w:w="120" w:type="dxa"/>
            </w:tcMar>
            <w:vAlign w:val="center"/>
          </w:tcPr>
          <w:p>
            <w:pPr>
              <w:spacing w:after="0"/>
            </w:pPr>
            <w:r>
              <w:rPr>
                <w:rFonts w:ascii="Arial" w:hAnsi="Arial"/>
                <w:b/>
                <w:color w:val="2F7D4A"/>
                <w:sz w:val="20"/>
              </w:rPr>
              <w:t>What changed</w:t>
            </w:r>
          </w:p>
        </w:tc>
        <w:tc>
          <w:tcPr>
            <w:tcW w:type="dxa" w:w="5083"/>
            <w:shd w:fill="EAF4ED"/>
            <w:tcMar>
              <w:top w:w="115" w:type="dxa"/>
              <w:start w:w="120" w:type="dxa"/>
              <w:bottom w:w="115" w:type="dxa"/>
              <w:end w:w="120" w:type="dxa"/>
            </w:tcMar>
            <w:vAlign w:val="center"/>
          </w:tcPr>
          <w:p>
            <w:pPr>
              <w:spacing w:after="0"/>
            </w:pPr>
            <w:r>
              <w:rPr>
                <w:rFonts w:ascii="Arial" w:hAnsi="Arial"/>
                <w:sz w:val="20"/>
              </w:rPr>
              <w:t>The 25 Sep roadmap said the next task was to create an identification-ready logger. The current repository now contains that logger, GUI metadata fields, per-run CSV files, raw q/current capture, monotonic receive timestamps, and a standalone quality checker. This is a real step forward from the roadmap snapshot.</w:t>
            </w:r>
          </w:p>
        </w:tc>
      </w:tr>
    </w:tbl>
    <w:p>
      <w:pPr>
        <w:spacing w:after="20"/>
      </w:pPr>
    </w:p>
    <w:tbl>
      <w:tblPr>
        <w:tblW w:type="auto" w:w="0"/>
        <w:jc w:val="center"/>
        <w:tblLayout w:type="fixed"/>
        <w:tblLook w:firstColumn="1" w:firstRow="1" w:lastColumn="0" w:lastRow="0" w:noHBand="0" w:noVBand="1" w:val="04A0"/>
        <w:tblBorders>
          <w:top w:val="single" w:sz="1" w:space="0" w:color="EAF3F8"/>
          <w:left w:val="single" w:sz="1" w:space="0" w:color="EAF3F8"/>
          <w:bottom w:val="single" w:sz="1" w:space="0" w:color="EAF3F8"/>
          <w:right w:val="single" w:sz="1" w:space="0" w:color="EAF3F8"/>
          <w:insideH w:val="single" w:sz="1" w:space="0" w:color="EAF3F8"/>
          <w:insideV w:val="single" w:sz="1" w:space="0" w:color="EAF3F8"/>
        </w:tblBorders>
      </w:tblPr>
      <w:tblGrid>
        <w:gridCol w:w="2088"/>
        <w:gridCol w:w="7776"/>
      </w:tblGrid>
      <w:tr>
        <w:tc>
          <w:tcPr>
            <w:tcW w:type="dxa" w:w="5083"/>
            <w:shd w:fill="EAF3F8"/>
            <w:tcMar>
              <w:top w:w="115" w:type="dxa"/>
              <w:start w:w="120" w:type="dxa"/>
              <w:bottom w:w="115" w:type="dxa"/>
              <w:end w:w="120" w:type="dxa"/>
            </w:tcMar>
            <w:vAlign w:val="center"/>
          </w:tcPr>
          <w:p>
            <w:pPr>
              <w:spacing w:after="0"/>
            </w:pPr>
            <w:r>
              <w:rPr>
                <w:rFonts w:ascii="Arial" w:hAnsi="Arial"/>
                <w:b/>
                <w:color w:val="123A5A"/>
                <w:sz w:val="20"/>
              </w:rPr>
              <w:t>Meaning of no-load</w:t>
            </w:r>
          </w:p>
        </w:tc>
        <w:tc>
          <w:tcPr>
            <w:tcW w:type="dxa" w:w="5083"/>
            <w:shd w:fill="EAF3F8"/>
            <w:tcMar>
              <w:top w:w="115" w:type="dxa"/>
              <w:start w:w="120" w:type="dxa"/>
              <w:bottom w:w="115" w:type="dxa"/>
              <w:end w:w="120" w:type="dxa"/>
            </w:tcMar>
            <w:vAlign w:val="center"/>
          </w:tcPr>
          <w:p>
            <w:pPr>
              <w:spacing w:after="0"/>
            </w:pPr>
            <w:r>
              <w:rPr>
                <w:rFonts w:ascii="Arial" w:hAnsi="Arial"/>
                <w:sz w:val="20"/>
              </w:rPr>
              <w:t>In this document, no-load means payload_g = 0, contact_label = NORMAL, grasp_context = NONE, with no deliberate contact or collision. This is the model-identification dataset, not the later 45-minute thermal validation experiment.</w:t>
            </w:r>
          </w:p>
        </w:tc>
      </w:tr>
    </w:tbl>
    <w:p>
      <w:pPr>
        <w:spacing w:after="20"/>
      </w:pPr>
    </w:p>
    <w:p>
      <w:pPr>
        <w:pStyle w:val="Heading1"/>
      </w:pPr>
      <w:r>
        <w:t>1. Repository evidence reviewed</w:t>
      </w:r>
    </w:p>
    <w:tbl>
      <w:tblPr>
        <w:tblW w:type="auto" w:w="0"/>
        <w:jc w:val="center"/>
        <w:tblLayout w:type="fixed"/>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2592"/>
        <w:gridCol w:w="5256"/>
        <w:gridCol w:w="2304"/>
      </w:tblGrid>
      <w:tr>
        <w:trPr>
          <w:tblHeader w:val="true"/>
        </w:trPr>
        <w:tc>
          <w:tcPr>
            <w:tcW w:type="dxa" w:w="3389"/>
            <w:shd w:fill="123A5A"/>
            <w:tcMar>
              <w:top w:w="80" w:type="dxa"/>
              <w:start w:w="90" w:type="dxa"/>
              <w:bottom w:w="80" w:type="dxa"/>
              <w:end w:w="90" w:type="dxa"/>
            </w:tcMar>
            <w:vAlign w:val="center"/>
          </w:tcPr>
          <w:p>
            <w:pPr>
              <w:spacing w:after="0"/>
              <w:jc w:val="left"/>
            </w:pPr>
            <w:r>
              <w:rPr>
                <w:rFonts w:ascii="Arial" w:hAnsi="Arial"/>
                <w:b/>
                <w:color w:val="FFFFFF"/>
                <w:sz w:val="17"/>
              </w:rPr>
              <w:t>Repository element</w:t>
            </w:r>
          </w:p>
        </w:tc>
        <w:tc>
          <w:tcPr>
            <w:tcW w:type="dxa" w:w="3389"/>
            <w:shd w:fill="123A5A"/>
            <w:tcMar>
              <w:top w:w="80" w:type="dxa"/>
              <w:start w:w="90" w:type="dxa"/>
              <w:bottom w:w="80" w:type="dxa"/>
              <w:end w:w="90" w:type="dxa"/>
            </w:tcMar>
            <w:vAlign w:val="center"/>
          </w:tcPr>
          <w:p>
            <w:pPr>
              <w:spacing w:after="0"/>
              <w:jc w:val="left"/>
            </w:pPr>
            <w:r>
              <w:rPr>
                <w:rFonts w:ascii="Arial" w:hAnsi="Arial"/>
                <w:b/>
                <w:color w:val="FFFFFF"/>
                <w:sz w:val="17"/>
              </w:rPr>
              <w:t>What it provides</w:t>
            </w:r>
          </w:p>
        </w:tc>
        <w:tc>
          <w:tcPr>
            <w:tcW w:type="dxa" w:w="3389"/>
            <w:shd w:fill="123A5A"/>
            <w:tcMar>
              <w:top w:w="80" w:type="dxa"/>
              <w:start w:w="90" w:type="dxa"/>
              <w:bottom w:w="80" w:type="dxa"/>
              <w:end w:w="90" w:type="dxa"/>
            </w:tcMar>
            <w:vAlign w:val="center"/>
          </w:tcPr>
          <w:p>
            <w:pPr>
              <w:spacing w:after="0"/>
              <w:jc w:val="left"/>
            </w:pPr>
            <w:r>
              <w:rPr>
                <w:rFonts w:ascii="Arial" w:hAnsi="Arial"/>
                <w:b/>
                <w:color w:val="FFFFFF"/>
                <w:sz w:val="17"/>
              </w:rPr>
              <w:t>Readiness implication</w:t>
            </w:r>
          </w:p>
        </w:tc>
      </w:tr>
      <w:tr>
        <w:trPr>
          <w:cantSplit/>
        </w:trPr>
        <w:tc>
          <w:tcPr>
            <w:tcW w:type="dxa" w:w="2592"/>
            <w:tcMar>
              <w:top w:w="70" w:type="dxa"/>
              <w:start w:w="85" w:type="dxa"/>
              <w:bottom w:w="70" w:type="dxa"/>
              <w:end w:w="85" w:type="dxa"/>
            </w:tcMar>
            <w:vAlign w:val="top"/>
          </w:tcPr>
          <w:p>
            <w:pPr>
              <w:spacing w:after="0" w:line="247" w:lineRule="auto"/>
            </w:pPr>
            <w:r>
              <w:rPr>
                <w:rFonts w:ascii="Arial" w:hAnsi="Arial"/>
                <w:sz w:val="17"/>
              </w:rPr>
              <w:t>IDENTIFICATION_DATA_COLLECTION.md</w:t>
            </w:r>
          </w:p>
        </w:tc>
        <w:tc>
          <w:tcPr>
            <w:tcW w:type="dxa" w:w="5256"/>
            <w:tcMar>
              <w:top w:w="70" w:type="dxa"/>
              <w:start w:w="85" w:type="dxa"/>
              <w:bottom w:w="70" w:type="dxa"/>
              <w:end w:w="85" w:type="dxa"/>
            </w:tcMar>
            <w:vAlign w:val="top"/>
          </w:tcPr>
          <w:p>
            <w:pPr>
              <w:spacing w:after="0" w:line="247" w:lineRule="auto"/>
            </w:pPr>
            <w:r>
              <w:rPr>
                <w:rFonts w:ascii="Arial" w:hAnsi="Arial"/>
                <w:sz w:val="17"/>
              </w:rPr>
              <w:t>Operator workflow, metadata definitions, CSV schema, raw-telemetry rules, quality-check command.</w:t>
            </w:r>
          </w:p>
        </w:tc>
        <w:tc>
          <w:tcPr>
            <w:tcW w:type="dxa" w:w="2304"/>
            <w:tcMar>
              <w:top w:w="70" w:type="dxa"/>
              <w:start w:w="85" w:type="dxa"/>
              <w:bottom w:w="70" w:type="dxa"/>
              <w:end w:w="85" w:type="dxa"/>
            </w:tcMar>
            <w:vAlign w:val="top"/>
          </w:tcPr>
          <w:p>
            <w:pPr>
              <w:spacing w:after="0" w:line="247" w:lineRule="auto"/>
            </w:pPr>
            <w:r>
              <w:rPr>
                <w:rFonts w:ascii="Arial" w:hAnsi="Arial"/>
                <w:sz w:val="17"/>
              </w:rPr>
              <w:t>Step 1 is documented, not merely planned.</w:t>
            </w:r>
          </w:p>
        </w:tc>
      </w:tr>
      <w:tr>
        <w:trPr>
          <w:cantSplit/>
        </w:trPr>
        <w:tc>
          <w:tcPr>
            <w:tcW w:type="dxa" w:w="2592"/>
            <w:shd w:fill="F8FAFC"/>
            <w:tcMar>
              <w:top w:w="70" w:type="dxa"/>
              <w:start w:w="85" w:type="dxa"/>
              <w:bottom w:w="70" w:type="dxa"/>
              <w:end w:w="85" w:type="dxa"/>
            </w:tcMar>
            <w:vAlign w:val="top"/>
          </w:tcPr>
          <w:p>
            <w:pPr>
              <w:spacing w:after="0" w:line="247" w:lineRule="auto"/>
            </w:pPr>
            <w:r>
              <w:rPr>
                <w:rFonts w:ascii="Arial" w:hAnsi="Arial"/>
                <w:sz w:val="17"/>
              </w:rPr>
              <w:t>core/identification_logger.py</w:t>
            </w:r>
          </w:p>
        </w:tc>
        <w:tc>
          <w:tcPr>
            <w:tcW w:type="dxa" w:w="5256"/>
            <w:shd w:fill="F8FAFC"/>
            <w:tcMar>
              <w:top w:w="70" w:type="dxa"/>
              <w:start w:w="85" w:type="dxa"/>
              <w:bottom w:w="70" w:type="dxa"/>
              <w:end w:w="85" w:type="dxa"/>
            </w:tcMar>
            <w:vAlign w:val="top"/>
          </w:tcPr>
          <w:p>
            <w:pPr>
              <w:spacing w:after="0" w:line="247" w:lineRule="auto"/>
            </w:pPr>
            <w:r>
              <w:rPr>
                <w:rFonts w:ascii="Arial" w:hAnsi="Arial"/>
                <w:sz w:val="17"/>
              </w:rPr>
              <w:t>Per-run file creation, no-overwrite naming, row schema, sample logging, quality analysis.</w:t>
            </w:r>
          </w:p>
        </w:tc>
        <w:tc>
          <w:tcPr>
            <w:tcW w:type="dxa" w:w="2304"/>
            <w:shd w:fill="F8FAFC"/>
            <w:tcMar>
              <w:top w:w="70" w:type="dxa"/>
              <w:start w:w="85" w:type="dxa"/>
              <w:bottom w:w="70" w:type="dxa"/>
              <w:end w:w="85" w:type="dxa"/>
            </w:tcMar>
            <w:vAlign w:val="top"/>
          </w:tcPr>
          <w:p>
            <w:pPr>
              <w:spacing w:after="0" w:line="247" w:lineRule="auto"/>
            </w:pPr>
            <w:r>
              <w:rPr>
                <w:rFonts w:ascii="Arial" w:hAnsi="Arial"/>
                <w:sz w:val="17"/>
              </w:rPr>
              <w:t>Core logging mechanism exists.</w:t>
            </w:r>
          </w:p>
        </w:tc>
      </w:tr>
      <w:tr>
        <w:trPr>
          <w:cantSplit/>
        </w:trPr>
        <w:tc>
          <w:tcPr>
            <w:tcW w:type="dxa" w:w="2592"/>
            <w:tcMar>
              <w:top w:w="70" w:type="dxa"/>
              <w:start w:w="85" w:type="dxa"/>
              <w:bottom w:w="70" w:type="dxa"/>
              <w:end w:w="85" w:type="dxa"/>
            </w:tcMar>
            <w:vAlign w:val="top"/>
          </w:tcPr>
          <w:p>
            <w:pPr>
              <w:spacing w:after="0" w:line="247" w:lineRule="auto"/>
            </w:pPr>
            <w:r>
              <w:rPr>
                <w:rFonts w:ascii="Arial" w:hAnsi="Arial"/>
                <w:sz w:val="17"/>
              </w:rPr>
              <w:t>gui/main_window.py</w:t>
            </w:r>
          </w:p>
        </w:tc>
        <w:tc>
          <w:tcPr>
            <w:tcW w:type="dxa" w:w="5256"/>
            <w:tcMar>
              <w:top w:w="70" w:type="dxa"/>
              <w:start w:w="85" w:type="dxa"/>
              <w:bottom w:w="70" w:type="dxa"/>
              <w:end w:w="85" w:type="dxa"/>
            </w:tcMar>
            <w:vAlign w:val="top"/>
          </w:tcPr>
          <w:p>
            <w:pPr>
              <w:spacing w:after="0" w:line="247" w:lineRule="auto"/>
            </w:pPr>
            <w:r>
              <w:rPr>
                <w:rFonts w:ascii="Arial" w:hAnsi="Arial"/>
                <w:sz w:val="17"/>
              </w:rPr>
              <w:t>Identification metadata panel; Start/Stop controls; CRI status callback writes q/current plus derived qdot/qddot.</w:t>
            </w:r>
          </w:p>
        </w:tc>
        <w:tc>
          <w:tcPr>
            <w:tcW w:type="dxa" w:w="2304"/>
            <w:tcMar>
              <w:top w:w="70" w:type="dxa"/>
              <w:start w:w="85" w:type="dxa"/>
              <w:bottom w:w="70" w:type="dxa"/>
              <w:end w:w="85" w:type="dxa"/>
            </w:tcMar>
            <w:vAlign w:val="top"/>
          </w:tcPr>
          <w:p>
            <w:pPr>
              <w:spacing w:after="0" w:line="247" w:lineRule="auto"/>
            </w:pPr>
            <w:r>
              <w:rPr>
                <w:rFonts w:ascii="Arial" w:hAnsi="Arial"/>
                <w:sz w:val="17"/>
              </w:rPr>
              <w:t>Operator can collect runs from the existing GUI.</w:t>
            </w:r>
          </w:p>
        </w:tc>
      </w:tr>
      <w:tr>
        <w:trPr>
          <w:cantSplit/>
        </w:trPr>
        <w:tc>
          <w:tcPr>
            <w:tcW w:type="dxa" w:w="2592"/>
            <w:shd w:fill="F8FAFC"/>
            <w:tcMar>
              <w:top w:w="70" w:type="dxa"/>
              <w:start w:w="85" w:type="dxa"/>
              <w:bottom w:w="70" w:type="dxa"/>
              <w:end w:w="85" w:type="dxa"/>
            </w:tcMar>
            <w:vAlign w:val="top"/>
          </w:tcPr>
          <w:p>
            <w:pPr>
              <w:spacing w:after="0" w:line="247" w:lineRule="auto"/>
            </w:pPr>
            <w:r>
              <w:rPr>
                <w:rFonts w:ascii="Arial" w:hAnsi="Arial"/>
                <w:sz w:val="17"/>
              </w:rPr>
              <w:t>cri_lib/cri_controller.py</w:t>
            </w:r>
          </w:p>
        </w:tc>
        <w:tc>
          <w:tcPr>
            <w:tcW w:type="dxa" w:w="5256"/>
            <w:shd w:fill="F8FAFC"/>
            <w:tcMar>
              <w:top w:w="70" w:type="dxa"/>
              <w:start w:w="85" w:type="dxa"/>
              <w:bottom w:w="70" w:type="dxa"/>
              <w:end w:w="85" w:type="dxa"/>
            </w:tcMar>
            <w:vAlign w:val="top"/>
          </w:tcPr>
          <w:p>
            <w:pPr>
              <w:spacing w:after="0" w:line="247" w:lineRule="auto"/>
            </w:pPr>
            <w:r>
              <w:rPr>
                <w:rFonts w:ascii="Arial" w:hAnsi="Arial"/>
                <w:sz w:val="17"/>
              </w:rPr>
              <w:t>Status callback receives a monotonic perf_counter timestamp captured at socket receive.</w:t>
            </w:r>
          </w:p>
        </w:tc>
        <w:tc>
          <w:tcPr>
            <w:tcW w:type="dxa" w:w="2304"/>
            <w:shd w:fill="F8FAFC"/>
            <w:tcMar>
              <w:top w:w="70" w:type="dxa"/>
              <w:start w:w="85" w:type="dxa"/>
              <w:bottom w:w="70" w:type="dxa"/>
              <w:end w:w="85" w:type="dxa"/>
            </w:tcMar>
            <w:vAlign w:val="top"/>
          </w:tcPr>
          <w:p>
            <w:pPr>
              <w:spacing w:after="0" w:line="247" w:lineRule="auto"/>
            </w:pPr>
            <w:r>
              <w:rPr>
                <w:rFonts w:ascii="Arial" w:hAnsi="Arial"/>
                <w:sz w:val="17"/>
              </w:rPr>
              <w:t>Measured dt can be reconstructed from real arrival times.</w:t>
            </w:r>
          </w:p>
        </w:tc>
      </w:tr>
      <w:tr>
        <w:trPr>
          <w:cantSplit/>
        </w:trPr>
        <w:tc>
          <w:tcPr>
            <w:tcW w:type="dxa" w:w="2592"/>
            <w:tcMar>
              <w:top w:w="70" w:type="dxa"/>
              <w:start w:w="85" w:type="dxa"/>
              <w:bottom w:w="70" w:type="dxa"/>
              <w:end w:w="85" w:type="dxa"/>
            </w:tcMar>
            <w:vAlign w:val="top"/>
          </w:tcPr>
          <w:p>
            <w:pPr>
              <w:spacing w:after="0" w:line="247" w:lineRule="auto"/>
            </w:pPr>
            <w:r>
              <w:rPr>
                <w:rFonts w:ascii="Arial" w:hAnsi="Arial"/>
                <w:sz w:val="17"/>
              </w:rPr>
              <w:t>cri_lib/cri_protocol_parser.py</w:t>
            </w:r>
          </w:p>
        </w:tc>
        <w:tc>
          <w:tcPr>
            <w:tcW w:type="dxa" w:w="5256"/>
            <w:tcMar>
              <w:top w:w="70" w:type="dxa"/>
              <w:start w:w="85" w:type="dxa"/>
              <w:bottom w:w="70" w:type="dxa"/>
              <w:end w:w="85" w:type="dxa"/>
            </w:tcMar>
            <w:vAlign w:val="top"/>
          </w:tcPr>
          <w:p>
            <w:pPr>
              <w:spacing w:after="0" w:line="247" w:lineRule="auto"/>
            </w:pPr>
            <w:r>
              <w:rPr>
                <w:rFonts w:ascii="Arial" w:hAnsi="Arial"/>
                <w:sz w:val="17"/>
              </w:rPr>
              <w:t>POSJOINTCURRENT maps joint position and CURRENTJOINTS maps motor currents.</w:t>
            </w:r>
          </w:p>
        </w:tc>
        <w:tc>
          <w:tcPr>
            <w:tcW w:type="dxa" w:w="2304"/>
            <w:tcMar>
              <w:top w:w="70" w:type="dxa"/>
              <w:start w:w="85" w:type="dxa"/>
              <w:bottom w:w="70" w:type="dxa"/>
              <w:end w:w="85" w:type="dxa"/>
            </w:tcMar>
            <w:vAlign w:val="top"/>
          </w:tcPr>
          <w:p>
            <w:pPr>
              <w:spacing w:after="0" w:line="247" w:lineRule="auto"/>
            </w:pPr>
            <w:r>
              <w:rPr>
                <w:rFonts w:ascii="Arial" w:hAnsi="Arial"/>
                <w:sz w:val="17"/>
              </w:rPr>
              <w:t>Required raw signals are available through CRI STATUS.</w:t>
            </w:r>
          </w:p>
        </w:tc>
      </w:tr>
      <w:tr>
        <w:trPr>
          <w:cantSplit/>
        </w:trPr>
        <w:tc>
          <w:tcPr>
            <w:tcW w:type="dxa" w:w="2592"/>
            <w:shd w:fill="F8FAFC"/>
            <w:tcMar>
              <w:top w:w="70" w:type="dxa"/>
              <w:start w:w="85" w:type="dxa"/>
              <w:bottom w:w="70" w:type="dxa"/>
              <w:end w:w="85" w:type="dxa"/>
            </w:tcMar>
            <w:vAlign w:val="top"/>
          </w:tcPr>
          <w:p>
            <w:pPr>
              <w:spacing w:after="0" w:line="247" w:lineRule="auto"/>
            </w:pPr>
            <w:r>
              <w:rPr>
                <w:rFonts w:ascii="Arial" w:hAnsi="Arial"/>
                <w:sz w:val="17"/>
              </w:rPr>
              <w:t>tools/check_identification_csv.py</w:t>
            </w:r>
          </w:p>
        </w:tc>
        <w:tc>
          <w:tcPr>
            <w:tcW w:type="dxa" w:w="5256"/>
            <w:shd w:fill="F8FAFC"/>
            <w:tcMar>
              <w:top w:w="70" w:type="dxa"/>
              <w:start w:w="85" w:type="dxa"/>
              <w:bottom w:w="70" w:type="dxa"/>
              <w:end w:w="85" w:type="dxa"/>
            </w:tcMar>
            <w:vAlign w:val="top"/>
          </w:tcPr>
          <w:p>
            <w:pPr>
              <w:spacing w:after="0" w:line="247" w:lineRule="auto"/>
            </w:pPr>
            <w:r>
              <w:rPr>
                <w:rFonts w:ascii="Arial" w:hAnsi="Arial"/>
                <w:sz w:val="17"/>
              </w:rPr>
              <w:t>Reports rows, timestamp monotonicity/duplicates, dt distribution, missing values, metadata, and schema.</w:t>
            </w:r>
          </w:p>
        </w:tc>
        <w:tc>
          <w:tcPr>
            <w:tcW w:type="dxa" w:w="2304"/>
            <w:shd w:fill="F8FAFC"/>
            <w:tcMar>
              <w:top w:w="70" w:type="dxa"/>
              <w:start w:w="85" w:type="dxa"/>
              <w:bottom w:w="70" w:type="dxa"/>
              <w:end w:w="85" w:type="dxa"/>
            </w:tcMar>
            <w:vAlign w:val="top"/>
          </w:tcPr>
          <w:p>
            <w:pPr>
              <w:spacing w:after="0" w:line="247" w:lineRule="auto"/>
            </w:pPr>
            <w:r>
              <w:rPr>
                <w:rFonts w:ascii="Arial" w:hAnsi="Arial"/>
                <w:sz w:val="17"/>
              </w:rPr>
              <w:t>A post-run gate exists for data quality.</w:t>
            </w:r>
          </w:p>
        </w:tc>
      </w:tr>
      <w:tr>
        <w:trPr>
          <w:cantSplit/>
        </w:trPr>
        <w:tc>
          <w:tcPr>
            <w:tcW w:type="dxa" w:w="2592"/>
            <w:tcMar>
              <w:top w:w="70" w:type="dxa"/>
              <w:start w:w="85" w:type="dxa"/>
              <w:bottom w:w="70" w:type="dxa"/>
              <w:end w:w="85" w:type="dxa"/>
            </w:tcMar>
            <w:vAlign w:val="top"/>
          </w:tcPr>
          <w:p>
            <w:pPr>
              <w:spacing w:after="0" w:line="247" w:lineRule="auto"/>
            </w:pPr>
            <w:r>
              <w:rPr>
                <w:rFonts w:ascii="Arial" w:hAnsi="Arial"/>
                <w:sz w:val="17"/>
              </w:rPr>
              <w:t>config.yaml / live analytics</w:t>
            </w:r>
          </w:p>
        </w:tc>
        <w:tc>
          <w:tcPr>
            <w:tcW w:type="dxa" w:w="5256"/>
            <w:tcMar>
              <w:top w:w="70" w:type="dxa"/>
              <w:start w:w="85" w:type="dxa"/>
              <w:bottom w:w="70" w:type="dxa"/>
              <w:end w:w="85" w:type="dxa"/>
            </w:tcMar>
            <w:vAlign w:val="top"/>
          </w:tcPr>
          <w:p>
            <w:pPr>
              <w:spacing w:after="0" w:line="247" w:lineRule="auto"/>
            </w:pPr>
            <w:r>
              <w:rPr>
                <w:rFonts w:ascii="Arial" w:hAnsi="Arial"/>
                <w:sz w:val="17"/>
              </w:rPr>
              <w:t>FF-RLS lambda=0.98, fixed CUSUM and payload baseline remain separate from the identification logger.</w:t>
            </w:r>
          </w:p>
        </w:tc>
        <w:tc>
          <w:tcPr>
            <w:tcW w:type="dxa" w:w="2304"/>
            <w:tcMar>
              <w:top w:w="70" w:type="dxa"/>
              <w:start w:w="85" w:type="dxa"/>
              <w:bottom w:w="70" w:type="dxa"/>
              <w:end w:w="85" w:type="dxa"/>
            </w:tcMar>
            <w:vAlign w:val="top"/>
          </w:tcPr>
          <w:p>
            <w:pPr>
              <w:spacing w:after="0" w:line="247" w:lineRule="auto"/>
            </w:pPr>
            <w:r>
              <w:rPr>
                <w:rFonts w:ascii="Arial" w:hAnsi="Arial"/>
                <w:sz w:val="17"/>
              </w:rPr>
              <w:t>No need to redesign VFF/state logic before collecting normal data.</w:t>
            </w:r>
          </w:p>
        </w:tc>
      </w:tr>
    </w:tbl>
    <w:p>
      <w:pPr>
        <w:spacing w:after="20"/>
      </w:pPr>
    </w:p>
    <w:p>
      <w:pPr>
        <w:pStyle w:val="Heading1"/>
      </w:pPr>
      <w:r>
        <w:t>2. Readiness matrix</w:t>
      </w:r>
    </w:p>
    <w:tbl>
      <w:tblPr>
        <w:tblW w:type="auto" w:w="0"/>
        <w:jc w:val="center"/>
        <w:tblLayout w:type="fixed"/>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3024"/>
        <w:gridCol w:w="2088"/>
        <w:gridCol w:w="5112"/>
      </w:tblGrid>
      <w:tr>
        <w:trPr>
          <w:tblHeader w:val="true"/>
        </w:trPr>
        <w:tc>
          <w:tcPr>
            <w:tcW w:type="dxa" w:w="3389"/>
            <w:shd w:fill="123A5A"/>
            <w:tcMar>
              <w:top w:w="80" w:type="dxa"/>
              <w:start w:w="90" w:type="dxa"/>
              <w:bottom w:w="80" w:type="dxa"/>
              <w:end w:w="90" w:type="dxa"/>
            </w:tcMar>
            <w:vAlign w:val="center"/>
          </w:tcPr>
          <w:p>
            <w:pPr>
              <w:spacing w:after="0"/>
              <w:jc w:val="left"/>
            </w:pPr>
            <w:r>
              <w:rPr>
                <w:rFonts w:ascii="Arial" w:hAnsi="Arial"/>
                <w:b/>
                <w:color w:val="FFFFFF"/>
                <w:sz w:val="17"/>
              </w:rPr>
              <w:t>Requirement</w:t>
            </w:r>
          </w:p>
        </w:tc>
        <w:tc>
          <w:tcPr>
            <w:tcW w:type="dxa" w:w="3389"/>
            <w:shd w:fill="123A5A"/>
            <w:tcMar>
              <w:top w:w="80" w:type="dxa"/>
              <w:start w:w="90" w:type="dxa"/>
              <w:bottom w:w="80" w:type="dxa"/>
              <w:end w:w="90" w:type="dxa"/>
            </w:tcMar>
            <w:vAlign w:val="center"/>
          </w:tcPr>
          <w:p>
            <w:pPr>
              <w:spacing w:after="0"/>
              <w:jc w:val="left"/>
            </w:pPr>
            <w:r>
              <w:rPr>
                <w:rFonts w:ascii="Arial" w:hAnsi="Arial"/>
                <w:b/>
                <w:color w:val="FFFFFF"/>
                <w:sz w:val="17"/>
              </w:rPr>
              <w:t>Status</w:t>
            </w:r>
          </w:p>
        </w:tc>
        <w:tc>
          <w:tcPr>
            <w:tcW w:type="dxa" w:w="3389"/>
            <w:shd w:fill="123A5A"/>
            <w:tcMar>
              <w:top w:w="80" w:type="dxa"/>
              <w:start w:w="90" w:type="dxa"/>
              <w:bottom w:w="80" w:type="dxa"/>
              <w:end w:w="90" w:type="dxa"/>
            </w:tcMar>
            <w:vAlign w:val="center"/>
          </w:tcPr>
          <w:p>
            <w:pPr>
              <w:spacing w:after="0"/>
              <w:jc w:val="left"/>
            </w:pPr>
            <w:r>
              <w:rPr>
                <w:rFonts w:ascii="Arial" w:hAnsi="Arial"/>
                <w:b/>
                <w:color w:val="FFFFFF"/>
                <w:sz w:val="17"/>
              </w:rPr>
              <w:t>Evidence / action</w:t>
            </w:r>
          </w:p>
        </w:tc>
      </w:tr>
      <w:tr>
        <w:trPr>
          <w:cantSplit/>
        </w:trPr>
        <w:tc>
          <w:tcPr>
            <w:tcW w:type="dxa" w:w="3024"/>
            <w:tcMar>
              <w:top w:w="70" w:type="dxa"/>
              <w:start w:w="85" w:type="dxa"/>
              <w:bottom w:w="70" w:type="dxa"/>
              <w:end w:w="85" w:type="dxa"/>
            </w:tcMar>
            <w:vAlign w:val="top"/>
          </w:tcPr>
          <w:p>
            <w:pPr>
              <w:spacing w:after="0" w:line="247" w:lineRule="auto"/>
            </w:pPr>
            <w:r>
              <w:rPr>
                <w:rFonts w:ascii="Arial" w:hAnsi="Arial"/>
                <w:sz w:val="17"/>
              </w:rPr>
              <w:t>Dedicated experiment CSV</w:t>
            </w:r>
          </w:p>
        </w:tc>
        <w:tc>
          <w:tcPr>
            <w:tcW w:type="dxa" w:w="2088"/>
            <w:tcMar>
              <w:top w:w="70" w:type="dxa"/>
              <w:start w:w="85" w:type="dxa"/>
              <w:bottom w:w="70" w:type="dxa"/>
              <w:end w:w="85" w:type="dxa"/>
            </w:tcMar>
            <w:vAlign w:val="top"/>
            <w:shd w:fill="EAF4ED"/>
          </w:tcPr>
          <w:p>
            <w:pPr>
              <w:spacing w:after="0" w:line="247" w:lineRule="auto"/>
            </w:pPr>
            <w:r>
              <w:rPr>
                <w:rFonts w:ascii="Arial" w:hAnsi="Arial"/>
                <w:sz w:val="17"/>
              </w:rPr>
              <w:t>PASS</w:t>
            </w:r>
          </w:p>
        </w:tc>
        <w:tc>
          <w:tcPr>
            <w:tcW w:type="dxa" w:w="5112"/>
            <w:tcMar>
              <w:top w:w="70" w:type="dxa"/>
              <w:start w:w="85" w:type="dxa"/>
              <w:bottom w:w="70" w:type="dxa"/>
              <w:end w:w="85" w:type="dxa"/>
            </w:tcMar>
            <w:vAlign w:val="top"/>
          </w:tcPr>
          <w:p>
            <w:pPr>
              <w:spacing w:after="0" w:line="247" w:lineRule="auto"/>
            </w:pPr>
            <w:r>
              <w:rPr>
                <w:rFonts w:ascii="Arial" w:hAnsi="Arial"/>
                <w:sz w:val="17"/>
              </w:rPr>
              <w:t>IdentificationLogger writes to identification_data/ with one file per run.</w:t>
            </w:r>
          </w:p>
        </w:tc>
      </w:tr>
      <w:tr>
        <w:trPr>
          <w:cantSplit/>
        </w:trPr>
        <w:tc>
          <w:tcPr>
            <w:tcW w:type="dxa" w:w="3024"/>
            <w:shd w:fill="F8FAFC"/>
            <w:tcMar>
              <w:top w:w="70" w:type="dxa"/>
              <w:start w:w="85" w:type="dxa"/>
              <w:bottom w:w="70" w:type="dxa"/>
              <w:end w:w="85" w:type="dxa"/>
            </w:tcMar>
            <w:vAlign w:val="top"/>
          </w:tcPr>
          <w:p>
            <w:pPr>
              <w:spacing w:after="0" w:line="247" w:lineRule="auto"/>
            </w:pPr>
            <w:r>
              <w:rPr>
                <w:rFonts w:ascii="Arial" w:hAnsi="Arial"/>
                <w:sz w:val="17"/>
              </w:rPr>
              <w:t>Run/trajectory metadata</w:t>
            </w:r>
          </w:p>
        </w:tc>
        <w:tc>
          <w:tcPr>
            <w:tcW w:type="dxa" w:w="2088"/>
            <w:shd w:fill="EAF4ED"/>
            <w:tcMar>
              <w:top w:w="70" w:type="dxa"/>
              <w:start w:w="85" w:type="dxa"/>
              <w:bottom w:w="70" w:type="dxa"/>
              <w:end w:w="85" w:type="dxa"/>
            </w:tcMar>
            <w:vAlign w:val="top"/>
          </w:tcPr>
          <w:p>
            <w:pPr>
              <w:spacing w:after="0" w:line="247" w:lineRule="auto"/>
            </w:pPr>
            <w:r>
              <w:rPr>
                <w:rFonts w:ascii="Arial" w:hAnsi="Arial"/>
                <w:sz w:val="17"/>
              </w:rPr>
              <w:t>PASS</w:t>
            </w:r>
          </w:p>
        </w:tc>
        <w:tc>
          <w:tcPr>
            <w:tcW w:type="dxa" w:w="5112"/>
            <w:shd w:fill="F8FAFC"/>
            <w:tcMar>
              <w:top w:w="70" w:type="dxa"/>
              <w:start w:w="85" w:type="dxa"/>
              <w:bottom w:w="70" w:type="dxa"/>
              <w:end w:w="85" w:type="dxa"/>
            </w:tcMar>
            <w:vAlign w:val="top"/>
          </w:tcPr>
          <w:p>
            <w:pPr>
              <w:spacing w:after="0" w:line="247" w:lineRule="auto"/>
            </w:pPr>
            <w:r>
              <w:rPr>
                <w:rFonts w:ascii="Arial" w:hAnsi="Arial"/>
                <w:sz w:val="17"/>
              </w:rPr>
              <w:t>experiment_id, trajectory_id, run_id, commanded_speed, payload_g, contact_label, grasp_context, thermal_condition are stored.</w:t>
            </w:r>
          </w:p>
        </w:tc>
      </w:tr>
      <w:tr>
        <w:trPr>
          <w:cantSplit/>
        </w:trPr>
        <w:tc>
          <w:tcPr>
            <w:tcW w:type="dxa" w:w="3024"/>
            <w:tcMar>
              <w:top w:w="70" w:type="dxa"/>
              <w:start w:w="85" w:type="dxa"/>
              <w:bottom w:w="70" w:type="dxa"/>
              <w:end w:w="85" w:type="dxa"/>
            </w:tcMar>
            <w:vAlign w:val="top"/>
          </w:tcPr>
          <w:p>
            <w:pPr>
              <w:spacing w:after="0" w:line="247" w:lineRule="auto"/>
            </w:pPr>
            <w:r>
              <w:rPr>
                <w:rFonts w:ascii="Arial" w:hAnsi="Arial"/>
                <w:sz w:val="17"/>
              </w:rPr>
              <w:t>Raw joint positions</w:t>
            </w:r>
          </w:p>
        </w:tc>
        <w:tc>
          <w:tcPr>
            <w:tcW w:type="dxa" w:w="2088"/>
            <w:tcMar>
              <w:top w:w="70" w:type="dxa"/>
              <w:start w:w="85" w:type="dxa"/>
              <w:bottom w:w="70" w:type="dxa"/>
              <w:end w:w="85" w:type="dxa"/>
            </w:tcMar>
            <w:vAlign w:val="top"/>
            <w:shd w:fill="EAF4ED"/>
          </w:tcPr>
          <w:p>
            <w:pPr>
              <w:spacing w:after="0" w:line="247" w:lineRule="auto"/>
            </w:pPr>
            <w:r>
              <w:rPr>
                <w:rFonts w:ascii="Arial" w:hAnsi="Arial"/>
                <w:sz w:val="17"/>
              </w:rPr>
              <w:t>PASS</w:t>
            </w:r>
          </w:p>
        </w:tc>
        <w:tc>
          <w:tcPr>
            <w:tcW w:type="dxa" w:w="5112"/>
            <w:tcMar>
              <w:top w:w="70" w:type="dxa"/>
              <w:start w:w="85" w:type="dxa"/>
              <w:bottom w:w="70" w:type="dxa"/>
              <w:end w:w="85" w:type="dxa"/>
            </w:tcMar>
            <w:vAlign w:val="top"/>
          </w:tcPr>
          <w:p>
            <w:pPr>
              <w:spacing w:after="0" w:line="247" w:lineRule="auto"/>
            </w:pPr>
            <w:r>
              <w:rPr>
                <w:rFonts w:ascii="Arial" w:hAnsi="Arial"/>
                <w:sz w:val="17"/>
              </w:rPr>
              <w:t>q1..q6 come from CRI POSJOINTCURRENT.</w:t>
            </w:r>
          </w:p>
        </w:tc>
      </w:tr>
      <w:tr>
        <w:trPr>
          <w:cantSplit/>
        </w:trPr>
        <w:tc>
          <w:tcPr>
            <w:tcW w:type="dxa" w:w="3024"/>
            <w:shd w:fill="F8FAFC"/>
            <w:tcMar>
              <w:top w:w="70" w:type="dxa"/>
              <w:start w:w="85" w:type="dxa"/>
              <w:bottom w:w="70" w:type="dxa"/>
              <w:end w:w="85" w:type="dxa"/>
            </w:tcMar>
            <w:vAlign w:val="top"/>
          </w:tcPr>
          <w:p>
            <w:pPr>
              <w:spacing w:after="0" w:line="247" w:lineRule="auto"/>
            </w:pPr>
            <w:r>
              <w:rPr>
                <w:rFonts w:ascii="Arial" w:hAnsi="Arial"/>
                <w:sz w:val="17"/>
              </w:rPr>
              <w:t>Raw motor currents</w:t>
            </w:r>
          </w:p>
        </w:tc>
        <w:tc>
          <w:tcPr>
            <w:tcW w:type="dxa" w:w="2088"/>
            <w:shd w:fill="FFF5DC"/>
            <w:tcMar>
              <w:top w:w="70" w:type="dxa"/>
              <w:start w:w="85" w:type="dxa"/>
              <w:bottom w:w="70" w:type="dxa"/>
              <w:end w:w="85" w:type="dxa"/>
            </w:tcMar>
            <w:vAlign w:val="top"/>
          </w:tcPr>
          <w:p>
            <w:pPr>
              <w:spacing w:after="0" w:line="247" w:lineRule="auto"/>
            </w:pPr>
            <w:r>
              <w:rPr>
                <w:rFonts w:ascii="Arial" w:hAnsi="Arial"/>
                <w:sz w:val="17"/>
              </w:rPr>
              <w:t>PASS WITH GUARD</w:t>
            </w:r>
          </w:p>
        </w:tc>
        <w:tc>
          <w:tcPr>
            <w:tcW w:type="dxa" w:w="5112"/>
            <w:shd w:fill="F8FAFC"/>
            <w:tcMar>
              <w:top w:w="70" w:type="dxa"/>
              <w:start w:w="85" w:type="dxa"/>
              <w:bottom w:w="70" w:type="dxa"/>
              <w:end w:w="85" w:type="dxa"/>
            </w:tcMar>
            <w:vAlign w:val="top"/>
          </w:tcPr>
          <w:p>
            <w:pPr>
              <w:spacing w:after="0" w:line="247" w:lineRule="auto"/>
            </w:pPr>
            <w:r>
              <w:rPr>
                <w:rFonts w:ascii="Arial" w:hAnsi="Arial"/>
                <w:sz w:val="17"/>
              </w:rPr>
              <w:t>current1..6 come from CRI CURRENTJOINTS, but the current callback silently substitutes zeros if fewer than six values are available.</w:t>
            </w:r>
          </w:p>
        </w:tc>
      </w:tr>
      <w:tr>
        <w:trPr>
          <w:cantSplit/>
        </w:trPr>
        <w:tc>
          <w:tcPr>
            <w:tcW w:type="dxa" w:w="3024"/>
            <w:tcMar>
              <w:top w:w="70" w:type="dxa"/>
              <w:start w:w="85" w:type="dxa"/>
              <w:bottom w:w="70" w:type="dxa"/>
              <w:end w:w="85" w:type="dxa"/>
            </w:tcMar>
            <w:vAlign w:val="top"/>
          </w:tcPr>
          <w:p>
            <w:pPr>
              <w:spacing w:after="0" w:line="247" w:lineRule="auto"/>
            </w:pPr>
            <w:r>
              <w:rPr>
                <w:rFonts w:ascii="Arial" w:hAnsi="Arial"/>
                <w:sz w:val="17"/>
              </w:rPr>
              <w:t>Real timestamps</w:t>
            </w:r>
          </w:p>
        </w:tc>
        <w:tc>
          <w:tcPr>
            <w:tcW w:type="dxa" w:w="2088"/>
            <w:tcMar>
              <w:top w:w="70" w:type="dxa"/>
              <w:start w:w="85" w:type="dxa"/>
              <w:bottom w:w="70" w:type="dxa"/>
              <w:end w:w="85" w:type="dxa"/>
            </w:tcMar>
            <w:vAlign w:val="top"/>
            <w:shd w:fill="FFF5DC"/>
          </w:tcPr>
          <w:p>
            <w:pPr>
              <w:spacing w:after="0" w:line="247" w:lineRule="auto"/>
            </w:pPr>
            <w:r>
              <w:rPr>
                <w:rFonts w:ascii="Arial" w:hAnsi="Arial"/>
                <w:sz w:val="17"/>
              </w:rPr>
              <w:t>PASS WITH TEST</w:t>
            </w:r>
          </w:p>
        </w:tc>
        <w:tc>
          <w:tcPr>
            <w:tcW w:type="dxa" w:w="5112"/>
            <w:tcMar>
              <w:top w:w="70" w:type="dxa"/>
              <w:start w:w="85" w:type="dxa"/>
              <w:bottom w:w="70" w:type="dxa"/>
              <w:end w:w="85" w:type="dxa"/>
            </w:tcMar>
            <w:vAlign w:val="top"/>
          </w:tcPr>
          <w:p>
            <w:pPr>
              <w:spacing w:after="0" w:line="247" w:lineRule="auto"/>
            </w:pPr>
            <w:r>
              <w:rPr>
                <w:rFonts w:ascii="Arial" w:hAnsi="Arial"/>
                <w:sz w:val="17"/>
              </w:rPr>
              <w:t>A monotonic receive timestamp is supplied; multiple complete messages parsed from one socket recv could theoretically share the same timestamp, so duplicate timestamps must be checked in the dry run.</w:t>
            </w:r>
          </w:p>
        </w:tc>
      </w:tr>
      <w:tr>
        <w:trPr>
          <w:cantSplit/>
        </w:trPr>
        <w:tc>
          <w:tcPr>
            <w:tcW w:type="dxa" w:w="3024"/>
            <w:shd w:fill="F8FAFC"/>
            <w:tcMar>
              <w:top w:w="70" w:type="dxa"/>
              <w:start w:w="85" w:type="dxa"/>
              <w:bottom w:w="70" w:type="dxa"/>
              <w:end w:w="85" w:type="dxa"/>
            </w:tcMar>
            <w:vAlign w:val="top"/>
          </w:tcPr>
          <w:p>
            <w:pPr>
              <w:spacing w:after="0" w:line="247" w:lineRule="auto"/>
            </w:pPr>
            <w:r>
              <w:rPr>
                <w:rFonts w:ascii="Arial" w:hAnsi="Arial"/>
                <w:sz w:val="17"/>
              </w:rPr>
              <w:t>Velocity / acceleration</w:t>
            </w:r>
          </w:p>
        </w:tc>
        <w:tc>
          <w:tcPr>
            <w:tcW w:type="dxa" w:w="2088"/>
            <w:shd w:fill="EAF3F8"/>
            <w:tcMar>
              <w:top w:w="70" w:type="dxa"/>
              <w:start w:w="85" w:type="dxa"/>
              <w:bottom w:w="70" w:type="dxa"/>
              <w:end w:w="85" w:type="dxa"/>
            </w:tcMar>
            <w:vAlign w:val="top"/>
          </w:tcPr>
          <w:p>
            <w:pPr>
              <w:spacing w:after="0" w:line="247" w:lineRule="auto"/>
            </w:pPr>
            <w:r>
              <w:rPr>
                <w:rFonts w:ascii="Arial" w:hAnsi="Arial"/>
                <w:sz w:val="17"/>
              </w:rPr>
              <w:t>USABLE AS DERIVED SIGNALS</w:t>
            </w:r>
          </w:p>
        </w:tc>
        <w:tc>
          <w:tcPr>
            <w:tcW w:type="dxa" w:w="5112"/>
            <w:shd w:fill="F8FAFC"/>
            <w:tcMar>
              <w:top w:w="70" w:type="dxa"/>
              <w:start w:w="85" w:type="dxa"/>
              <w:bottom w:w="70" w:type="dxa"/>
              <w:end w:w="85" w:type="dxa"/>
            </w:tcMar>
            <w:vAlign w:val="top"/>
          </w:tcPr>
          <w:p>
            <w:pPr>
              <w:spacing w:after="0" w:line="247" w:lineRule="auto"/>
            </w:pPr>
            <w:r>
              <w:rPr>
                <w:rFonts w:ascii="Arial" w:hAnsi="Arial"/>
                <w:sz w:val="17"/>
              </w:rPr>
              <w:t>qdot and qddot are finite differences in the live callback. Do not treat them as independent raw measurements; recompute filtered derivatives offline from q and measured dt.</w:t>
            </w:r>
          </w:p>
        </w:tc>
      </w:tr>
      <w:tr>
        <w:trPr>
          <w:cantSplit/>
        </w:trPr>
        <w:tc>
          <w:tcPr>
            <w:tcW w:type="dxa" w:w="3024"/>
            <w:tcMar>
              <w:top w:w="70" w:type="dxa"/>
              <w:start w:w="85" w:type="dxa"/>
              <w:bottom w:w="70" w:type="dxa"/>
              <w:end w:w="85" w:type="dxa"/>
            </w:tcMar>
            <w:vAlign w:val="top"/>
          </w:tcPr>
          <w:p>
            <w:pPr>
              <w:spacing w:after="0" w:line="247" w:lineRule="auto"/>
            </w:pPr>
            <w:r>
              <w:rPr>
                <w:rFonts w:ascii="Arial" w:hAnsi="Arial"/>
                <w:sz w:val="17"/>
              </w:rPr>
              <w:t>No overwrite / traceability</w:t>
            </w:r>
          </w:p>
        </w:tc>
        <w:tc>
          <w:tcPr>
            <w:tcW w:type="dxa" w:w="2088"/>
            <w:tcMar>
              <w:top w:w="70" w:type="dxa"/>
              <w:start w:w="85" w:type="dxa"/>
              <w:bottom w:w="70" w:type="dxa"/>
              <w:end w:w="85" w:type="dxa"/>
            </w:tcMar>
            <w:vAlign w:val="top"/>
            <w:shd w:fill="EAF4ED"/>
          </w:tcPr>
          <w:p>
            <w:pPr>
              <w:spacing w:after="0" w:line="247" w:lineRule="auto"/>
            </w:pPr>
            <w:r>
              <w:rPr>
                <w:rFonts w:ascii="Arial" w:hAnsi="Arial"/>
                <w:sz w:val="17"/>
              </w:rPr>
              <w:t>PASS</w:t>
            </w:r>
          </w:p>
        </w:tc>
        <w:tc>
          <w:tcPr>
            <w:tcW w:type="dxa" w:w="5112"/>
            <w:tcMar>
              <w:top w:w="70" w:type="dxa"/>
              <w:start w:w="85" w:type="dxa"/>
              <w:bottom w:w="70" w:type="dxa"/>
              <w:end w:w="85" w:type="dxa"/>
            </w:tcMar>
            <w:vAlign w:val="top"/>
          </w:tcPr>
          <w:p>
            <w:pPr>
              <w:spacing w:after="0" w:line="247" w:lineRule="auto"/>
            </w:pPr>
            <w:r>
              <w:rPr>
                <w:rFonts w:ascii="Arial" w:hAnsi="Arial"/>
                <w:sz w:val="17"/>
              </w:rPr>
              <w:t>Run filenames are timestamped and auto-suffixed if a file already exists.</w:t>
            </w:r>
          </w:p>
        </w:tc>
      </w:tr>
      <w:tr>
        <w:trPr>
          <w:cantSplit/>
        </w:trPr>
        <w:tc>
          <w:tcPr>
            <w:tcW w:type="dxa" w:w="3024"/>
            <w:shd w:fill="F8FAFC"/>
            <w:tcMar>
              <w:top w:w="70" w:type="dxa"/>
              <w:start w:w="85" w:type="dxa"/>
              <w:bottom w:w="70" w:type="dxa"/>
              <w:end w:w="85" w:type="dxa"/>
            </w:tcMar>
            <w:vAlign w:val="top"/>
          </w:tcPr>
          <w:p>
            <w:pPr>
              <w:spacing w:after="0" w:line="247" w:lineRule="auto"/>
            </w:pPr>
            <w:r>
              <w:rPr>
                <w:rFonts w:ascii="Arial" w:hAnsi="Arial"/>
                <w:sz w:val="17"/>
              </w:rPr>
              <w:t>Post-run quality check</w:t>
            </w:r>
          </w:p>
        </w:tc>
        <w:tc>
          <w:tcPr>
            <w:tcW w:type="dxa" w:w="2088"/>
            <w:shd w:fill="EAF4ED"/>
            <w:tcMar>
              <w:top w:w="70" w:type="dxa"/>
              <w:start w:w="85" w:type="dxa"/>
              <w:bottom w:w="70" w:type="dxa"/>
              <w:end w:w="85" w:type="dxa"/>
            </w:tcMar>
            <w:vAlign w:val="top"/>
          </w:tcPr>
          <w:p>
            <w:pPr>
              <w:spacing w:after="0" w:line="247" w:lineRule="auto"/>
            </w:pPr>
            <w:r>
              <w:rPr>
                <w:rFonts w:ascii="Arial" w:hAnsi="Arial"/>
                <w:sz w:val="17"/>
              </w:rPr>
              <w:t>PASS</w:t>
            </w:r>
          </w:p>
        </w:tc>
        <w:tc>
          <w:tcPr>
            <w:tcW w:type="dxa" w:w="5112"/>
            <w:shd w:fill="F8FAFC"/>
            <w:tcMar>
              <w:top w:w="70" w:type="dxa"/>
              <w:start w:w="85" w:type="dxa"/>
              <w:bottom w:w="70" w:type="dxa"/>
              <w:end w:w="85" w:type="dxa"/>
            </w:tcMar>
            <w:vAlign w:val="top"/>
          </w:tcPr>
          <w:p>
            <w:pPr>
              <w:spacing w:after="0" w:line="247" w:lineRule="auto"/>
            </w:pPr>
            <w:r>
              <w:rPr>
                <w:rFonts w:ascii="Arial" w:hAnsi="Arial"/>
                <w:sz w:val="17"/>
              </w:rPr>
              <w:t>Standalone checker reports dt, duplicates, missing values and signal ranges.</w:t>
            </w:r>
          </w:p>
        </w:tc>
      </w:tr>
      <w:tr>
        <w:trPr>
          <w:cantSplit/>
        </w:trPr>
        <w:tc>
          <w:tcPr>
            <w:tcW w:type="dxa" w:w="3024"/>
            <w:tcMar>
              <w:top w:w="70" w:type="dxa"/>
              <w:start w:w="85" w:type="dxa"/>
              <w:bottom w:w="70" w:type="dxa"/>
              <w:end w:w="85" w:type="dxa"/>
            </w:tcMar>
            <w:vAlign w:val="top"/>
          </w:tcPr>
          <w:p>
            <w:pPr>
              <w:spacing w:after="0" w:line="247" w:lineRule="auto"/>
            </w:pPr>
            <w:r>
              <w:rPr>
                <w:rFonts w:ascii="Arial" w:hAnsi="Arial"/>
                <w:sz w:val="17"/>
              </w:rPr>
              <w:t>Receive-thread workload</w:t>
            </w:r>
          </w:p>
        </w:tc>
        <w:tc>
          <w:tcPr>
            <w:tcW w:type="dxa" w:w="2088"/>
            <w:tcMar>
              <w:top w:w="70" w:type="dxa"/>
              <w:start w:w="85" w:type="dxa"/>
              <w:bottom w:w="70" w:type="dxa"/>
              <w:end w:w="85" w:type="dxa"/>
            </w:tcMar>
            <w:vAlign w:val="top"/>
            <w:shd w:fill="FFF5DC"/>
          </w:tcPr>
          <w:p>
            <w:pPr>
              <w:spacing w:after="0" w:line="247" w:lineRule="auto"/>
            </w:pPr>
            <w:r>
              <w:rPr>
                <w:rFonts w:ascii="Arial" w:hAnsi="Arial"/>
                <w:sz w:val="17"/>
              </w:rPr>
              <w:t>RISK TO CLEAR</w:t>
            </w:r>
          </w:p>
        </w:tc>
        <w:tc>
          <w:tcPr>
            <w:tcW w:type="dxa" w:w="5112"/>
            <w:tcMar>
              <w:top w:w="70" w:type="dxa"/>
              <w:start w:w="85" w:type="dxa"/>
              <w:bottom w:w="70" w:type="dxa"/>
              <w:end w:w="85" w:type="dxa"/>
            </w:tcMar>
            <w:vAlign w:val="top"/>
          </w:tcPr>
          <w:p>
            <w:pPr>
              <w:spacing w:after="0" w:line="247" w:lineRule="auto"/>
            </w:pPr>
            <w:r>
              <w:rPr>
                <w:rFonts w:ascii="Arial" w:hAnsi="Arial"/>
                <w:sz w:val="17"/>
              </w:rPr>
              <w:t>The status callback writes and flushes the CSV every sample. The CRI controller warns that the callback must remain fast because receive processing is blocked while it runs.</w:t>
            </w:r>
          </w:p>
        </w:tc>
      </w:tr>
      <w:tr>
        <w:trPr>
          <w:cantSplit/>
        </w:trPr>
        <w:tc>
          <w:tcPr>
            <w:tcW w:type="dxa" w:w="3024"/>
            <w:shd w:fill="F8FAFC"/>
            <w:tcMar>
              <w:top w:w="70" w:type="dxa"/>
              <w:start w:w="85" w:type="dxa"/>
              <w:bottom w:w="70" w:type="dxa"/>
              <w:end w:w="85" w:type="dxa"/>
            </w:tcMar>
            <w:vAlign w:val="top"/>
          </w:tcPr>
          <w:p>
            <w:pPr>
              <w:spacing w:after="0" w:line="247" w:lineRule="auto"/>
            </w:pPr>
            <w:r>
              <w:rPr>
                <w:rFonts w:ascii="Arial" w:hAnsi="Arial"/>
                <w:sz w:val="17"/>
              </w:rPr>
              <w:t>Thread-safe metadata access</w:t>
            </w:r>
          </w:p>
        </w:tc>
        <w:tc>
          <w:tcPr>
            <w:tcW w:type="dxa" w:w="2088"/>
            <w:shd w:fill="FFF5DC"/>
            <w:tcMar>
              <w:top w:w="70" w:type="dxa"/>
              <w:start w:w="85" w:type="dxa"/>
              <w:bottom w:w="70" w:type="dxa"/>
              <w:end w:w="85" w:type="dxa"/>
            </w:tcMar>
            <w:vAlign w:val="top"/>
          </w:tcPr>
          <w:p>
            <w:pPr>
              <w:spacing w:after="0" w:line="247" w:lineRule="auto"/>
            </w:pPr>
            <w:r>
              <w:rPr>
                <w:rFonts w:ascii="Arial" w:hAnsi="Arial"/>
                <w:sz w:val="17"/>
              </w:rPr>
              <w:t>RISK TO FIX</w:t>
            </w:r>
          </w:p>
        </w:tc>
        <w:tc>
          <w:tcPr>
            <w:tcW w:type="dxa" w:w="5112"/>
            <w:shd w:fill="F8FAFC"/>
            <w:tcMar>
              <w:top w:w="70" w:type="dxa"/>
              <w:start w:w="85" w:type="dxa"/>
              <w:bottom w:w="70" w:type="dxa"/>
              <w:end w:w="85" w:type="dxa"/>
            </w:tcMar>
            <w:vAlign w:val="top"/>
          </w:tcPr>
          <w:p>
            <w:pPr>
              <w:spacing w:after="0" w:line="247" w:lineRule="auto"/>
            </w:pPr>
            <w:r>
              <w:rPr>
                <w:rFonts w:ascii="Arial" w:hAnsi="Arial"/>
                <w:sz w:val="17"/>
              </w:rPr>
              <w:t>The receive-thread callback calls _get_identification_metadata(), which reads Qt widgets. Metadata should be frozen at Start and reused from the logger rather than reading GUI widgets from the receive thread.</w:t>
            </w:r>
          </w:p>
        </w:tc>
      </w:tr>
    </w:tbl>
    <w:p>
      <w:pPr>
        <w:spacing w:after="20"/>
      </w:pPr>
    </w:p>
    <w:p>
      <w:pPr>
        <w:pStyle w:val="Heading1"/>
      </w:pPr>
      <w:r>
        <w:t>3. Three pre-campaign fixes / gates</w:t>
      </w:r>
    </w:p>
    <w:p>
      <w:pPr>
        <w:pStyle w:val="Heading2"/>
      </w:pPr>
      <w:r>
        <w:t>3.1 Freeze run metadata at Start - do not read Qt widgets in the receive callback</w:t>
      </w:r>
    </w:p>
    <w:p>
      <w:r>
        <w:t>At Start Identification Run, the GUI already creates the IdentificationLogger with a complete metadata snapshot. The callback can therefore write samples without calling _get_identification_metadata() again. This removes a cross-thread Qt access and also makes metadata immutable within a run, which is scientifically preferable.</w:t>
      </w:r>
    </w:p>
    <w:tbl>
      <w:tblPr>
        <w:tblW w:type="auto" w:w="0"/>
        <w:tblLook w:firstColumn="1" w:firstRow="1" w:lastColumn="0" w:lastRow="0" w:noHBand="0" w:noVBand="1" w:val="04A0"/>
        <w:tblBorders>
          <w:top w:val="single" w:sz="2" w:space="0" w:color="E1E6EB"/>
          <w:left w:val="single" w:sz="2" w:space="0" w:color="E1E6EB"/>
          <w:bottom w:val="single" w:sz="2" w:space="0" w:color="E1E6EB"/>
          <w:right w:val="single" w:sz="2" w:space="0" w:color="E1E6EB"/>
          <w:insideH w:val="single" w:sz="2" w:space="0" w:color="E1E6EB"/>
          <w:insideV w:val="single" w:sz="2" w:space="0" w:color="E1E6EB"/>
        </w:tblBorders>
      </w:tblPr>
      <w:tblGrid>
        <w:gridCol w:w="10166"/>
      </w:tblGrid>
      <w:tr>
        <w:tc>
          <w:tcPr>
            <w:tcW w:type="dxa" w:w="10166"/>
            <w:shd w:fill="F3F5F7"/>
            <w:tcMar>
              <w:top w:w="100" w:type="dxa"/>
              <w:start w:w="140" w:type="dxa"/>
              <w:bottom w:w="100" w:type="dxa"/>
              <w:end w:w="140" w:type="dxa"/>
            </w:tcMar>
          </w:tcPr>
          <w:p>
            <w:pPr>
              <w:jc w:val="center"/>
            </w:pPr>
            <w:r>
              <w:rPr>
                <w:rFonts w:ascii="Liberation Mono" w:hAnsi="Liberation Mono"/>
                <w:b/>
                <w:sz w:val="20"/>
              </w:rPr>
              <w:t>Recommended behavior: log_sample(..., metadata=None)  # use logger metadata frozen at run start</w:t>
            </w:r>
          </w:p>
        </w:tc>
      </w:tr>
    </w:tbl>
    <w:p>
      <w:pPr>
        <w:spacing w:after="20"/>
      </w:pPr>
    </w:p>
    <w:p>
      <w:pPr>
        <w:pStyle w:val="Heading2"/>
      </w:pPr>
      <w:r>
        <w:t>3.2 Never silently turn missing current telemetry into valid-looking zeros</w:t>
      </w:r>
    </w:p>
    <w:p>
      <w:r>
        <w:t>The current callback falls back to six zeros if current_joints has fewer than six elements. For identification, that is dangerous because the CSV remains syntactically valid while the target signal is wrong. Gate recording until CURRENTJOINTS has been observed, or write NaN/drop the sample and count it explicitly.</w:t>
      </w:r>
    </w:p>
    <w:p>
      <w:pPr>
        <w:pStyle w:val="ListBullet"/>
        <w:spacing w:after="60"/>
      </w:pPr>
      <w:r>
        <w:t>Before enabling Start Identification Run, confirm the controller has received CURRENTJOINTS and six finite current values.</w:t>
      </w:r>
    </w:p>
    <w:p>
      <w:pPr>
        <w:pStyle w:val="ListBullet"/>
        <w:spacing w:after="60"/>
      </w:pPr>
      <w:r>
        <w:t>If a current sample is unavailable during a run, write NaN or skip the sample with a logged counter; do not synthesize 0 mA.</w:t>
      </w:r>
    </w:p>
    <w:p>
      <w:pPr>
        <w:pStyle w:val="ListBullet"/>
        <w:spacing w:after="60"/>
      </w:pPr>
      <w:r>
        <w:t>The quality checker should fail the run if current channels are missing, all-zero unexpectedly, or contain non-finite values.</w:t>
      </w:r>
    </w:p>
    <w:p>
      <w:pPr>
        <w:pStyle w:val="Heading2"/>
      </w:pPr>
      <w:r>
        <w:t>3.3 Clear the receive-thread logging performance risk</w:t>
      </w:r>
    </w:p>
    <w:p>
      <w:r>
        <w:t>The CRI receive thread invokes the status callback, and the callback writes a CSV row and flushes the file on every sample. This may be acceptable at the actual STATUS rate, but it should be demonstrated rather than assumed. The immediate dry test should inspect dt percentiles and missed/duplicate timing. If timing becomes irregular, move disk I/O to a queue-backed writer thread or batch flushes outside the receive callback.</w:t>
      </w:r>
    </w:p>
    <w:tbl>
      <w:tblPr>
        <w:tblW w:type="auto" w:w="0"/>
        <w:jc w:val="center"/>
        <w:tblLayout w:type="fixed"/>
        <w:tblLook w:firstColumn="1" w:firstRow="1" w:lastColumn="0" w:lastRow="0" w:noHBand="0" w:noVBand="1" w:val="04A0"/>
        <w:tblBorders>
          <w:top w:val="single" w:sz="1" w:space="0" w:color="EAF6F5"/>
          <w:left w:val="single" w:sz="1" w:space="0" w:color="EAF6F5"/>
          <w:bottom w:val="single" w:sz="1" w:space="0" w:color="EAF6F5"/>
          <w:right w:val="single" w:sz="1" w:space="0" w:color="EAF6F5"/>
          <w:insideH w:val="single" w:sz="1" w:space="0" w:color="EAF6F5"/>
          <w:insideV w:val="single" w:sz="1" w:space="0" w:color="EAF6F5"/>
        </w:tblBorders>
      </w:tblPr>
      <w:tblGrid>
        <w:gridCol w:w="2088"/>
        <w:gridCol w:w="7776"/>
      </w:tblGrid>
      <w:tr>
        <w:tc>
          <w:tcPr>
            <w:tcW w:type="dxa" w:w="5083"/>
            <w:shd w:fill="EAF6F5"/>
            <w:tcMar>
              <w:top w:w="115" w:type="dxa"/>
              <w:start w:w="120" w:type="dxa"/>
              <w:bottom w:w="115" w:type="dxa"/>
              <w:end w:w="120" w:type="dxa"/>
            </w:tcMar>
            <w:vAlign w:val="center"/>
          </w:tcPr>
          <w:p>
            <w:pPr>
              <w:spacing w:after="0"/>
            </w:pPr>
            <w:r>
              <w:rPr>
                <w:rFonts w:ascii="Arial" w:hAnsi="Arial"/>
                <w:b/>
                <w:color w:val="2A7F8E"/>
                <w:sz w:val="20"/>
              </w:rPr>
              <w:t>Decision rule</w:t>
            </w:r>
          </w:p>
        </w:tc>
        <w:tc>
          <w:tcPr>
            <w:tcW w:type="dxa" w:w="5083"/>
            <w:shd w:fill="EAF6F5"/>
            <w:tcMar>
              <w:top w:w="115" w:type="dxa"/>
              <w:start w:w="120" w:type="dxa"/>
              <w:bottom w:w="115" w:type="dxa"/>
              <w:end w:w="120" w:type="dxa"/>
            </w:tcMar>
            <w:vAlign w:val="center"/>
          </w:tcPr>
          <w:p>
            <w:pPr>
              <w:spacing w:after="0"/>
            </w:pPr>
            <w:r>
              <w:rPr>
                <w:rFonts w:ascii="Arial" w:hAnsi="Arial"/>
                <w:sz w:val="20"/>
              </w:rPr>
              <w:t>If the dry run produces clean, stable timestamps with no duplicate/invalid dt and no connection/STATUS issues, the current synchronous logger is acceptable for the pilot. If it perturbs timing, change to queued asynchronous logging before collecting the research dataset.</w:t>
            </w:r>
          </w:p>
        </w:tc>
      </w:tr>
    </w:tbl>
    <w:p>
      <w:pPr>
        <w:spacing w:after="20"/>
      </w:pPr>
    </w:p>
    <w:p>
      <w:pPr>
        <w:pStyle w:val="Heading1"/>
      </w:pPr>
      <w:r>
        <w:t>4. Lab dry test - do this first</w:t>
      </w:r>
    </w:p>
    <w:p>
      <w:r>
        <w:t>Purpose: validate the logger and signal integrity before spending time on a full no-load campaign. Keep this short and conservative.</w:t>
      </w:r>
    </w:p>
    <w:p>
      <w:pPr>
        <w:pStyle w:val="ListNumber"/>
        <w:spacing w:after="80"/>
      </w:pPr>
      <w:r>
        <w:rPr>
          <w:b/>
        </w:rPr>
        <w:t xml:space="preserve">Preflight. </w:t>
      </w:r>
      <w:r>
        <w:t>Use the normal robot risk assessment and workspace safeguards. Start with the robot unloaded, no tool contact, and a known safe pose/trajectory. Do not disable or bypass any certified safety function.</w:t>
      </w:r>
    </w:p>
    <w:p>
      <w:pPr>
        <w:pStyle w:val="ListNumber"/>
        <w:spacing w:after="80"/>
      </w:pPr>
      <w:r>
        <w:rPr>
          <w:b/>
        </w:rPr>
        <w:t xml:space="preserve">Connect and verify telemetry. </w:t>
      </w:r>
      <w:r>
        <w:t>Confirm live joint positions and all six joint currents are updating. If any current channel is missing or remains unexpectedly zero, stop and investigate before recording.</w:t>
      </w:r>
    </w:p>
    <w:p>
      <w:pPr>
        <w:pStyle w:val="ListNumber"/>
        <w:spacing w:after="80"/>
      </w:pPr>
      <w:r>
        <w:rPr>
          <w:b/>
        </w:rPr>
        <w:t xml:space="preserve">Record a stationary sample. </w:t>
      </w:r>
      <w:r>
        <w:t>Set payload_g=0, contact_label=NORMAL, grasp_context=NONE, thermal_condition=COLD (or the actual condition). Record roughly 30-60 s while stationary.</w:t>
      </w:r>
    </w:p>
    <w:p>
      <w:pPr>
        <w:pStyle w:val="ListNumber"/>
        <w:spacing w:after="80"/>
      </w:pPr>
      <w:r>
        <w:rPr>
          <w:b/>
        </w:rPr>
        <w:t xml:space="preserve">Record one short low-speed motion. </w:t>
      </w:r>
      <w:r>
        <w:t>Use one already-safe single-joint sweep or short repeatable trajectory with positive and negative motion. Keep the same metadata except trajectory_id/run_id.</w:t>
      </w:r>
    </w:p>
    <w:p>
      <w:pPr>
        <w:pStyle w:val="ListNumber"/>
        <w:spacing w:after="80"/>
      </w:pPr>
      <w:r>
        <w:rPr>
          <w:b/>
        </w:rPr>
        <w:t xml:space="preserve">Stop and save each run. </w:t>
      </w:r>
      <w:r>
        <w:t>Confirm that a separate CSV is created and that the run ID/trajectory ID in the filename and rows are correct.</w:t>
      </w:r>
    </w:p>
    <w:p>
      <w:pPr>
        <w:pStyle w:val="ListNumber"/>
        <w:spacing w:after="80"/>
      </w:pPr>
      <w:r>
        <w:rPr>
          <w:b/>
        </w:rPr>
        <w:t xml:space="preserve">Run the checker immediately. </w:t>
      </w:r>
      <w:r>
        <w:t>Use: python tools/check_identification_csv.py identification_data/&lt;file&gt;.csv</w:t>
      </w:r>
    </w:p>
    <w:p>
      <w:pPr>
        <w:pStyle w:val="ListNumber"/>
        <w:spacing w:after="80"/>
      </w:pPr>
      <w:r>
        <w:rPr>
          <w:b/>
        </w:rPr>
        <w:t xml:space="preserve">Inspect the raw file/plots. </w:t>
      </w:r>
      <w:r>
        <w:t>Check q and current traces visually; verify currents are plausible and not flat/clipped; confirm q changes only as expected.</w:t>
      </w:r>
    </w:p>
    <w:p>
      <w:pPr>
        <w:pStyle w:val="Heading1"/>
      </w:pPr>
      <w:r>
        <w:t>5. Dry-test acceptance criteria</w:t>
      </w:r>
    </w:p>
    <w:tbl>
      <w:tblPr>
        <w:tblW w:type="auto" w:w="0"/>
        <w:jc w:val="center"/>
        <w:tblLayout w:type="fixed"/>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2376"/>
        <w:gridCol w:w="4104"/>
        <w:gridCol w:w="3816"/>
      </w:tblGrid>
      <w:tr>
        <w:trPr>
          <w:tblHeader w:val="true"/>
        </w:trPr>
        <w:tc>
          <w:tcPr>
            <w:tcW w:type="dxa" w:w="3389"/>
            <w:shd w:fill="123A5A"/>
            <w:tcMar>
              <w:top w:w="80" w:type="dxa"/>
              <w:start w:w="90" w:type="dxa"/>
              <w:bottom w:w="80" w:type="dxa"/>
              <w:end w:w="90" w:type="dxa"/>
            </w:tcMar>
            <w:vAlign w:val="center"/>
          </w:tcPr>
          <w:p>
            <w:pPr>
              <w:spacing w:after="0"/>
              <w:jc w:val="left"/>
            </w:pPr>
            <w:r>
              <w:rPr>
                <w:rFonts w:ascii="Arial" w:hAnsi="Arial"/>
                <w:b/>
                <w:color w:val="FFFFFF"/>
                <w:sz w:val="17"/>
              </w:rPr>
              <w:t>Check</w:t>
            </w:r>
          </w:p>
        </w:tc>
        <w:tc>
          <w:tcPr>
            <w:tcW w:type="dxa" w:w="3389"/>
            <w:shd w:fill="123A5A"/>
            <w:tcMar>
              <w:top w:w="80" w:type="dxa"/>
              <w:start w:w="90" w:type="dxa"/>
              <w:bottom w:w="80" w:type="dxa"/>
              <w:end w:w="90" w:type="dxa"/>
            </w:tcMar>
            <w:vAlign w:val="center"/>
          </w:tcPr>
          <w:p>
            <w:pPr>
              <w:spacing w:after="0"/>
              <w:jc w:val="left"/>
            </w:pPr>
            <w:r>
              <w:rPr>
                <w:rFonts w:ascii="Arial" w:hAnsi="Arial"/>
                <w:b/>
                <w:color w:val="FFFFFF"/>
                <w:sz w:val="17"/>
              </w:rPr>
              <w:t>Accept for pilot campaign</w:t>
            </w:r>
          </w:p>
        </w:tc>
        <w:tc>
          <w:tcPr>
            <w:tcW w:type="dxa" w:w="3389"/>
            <w:shd w:fill="123A5A"/>
            <w:tcMar>
              <w:top w:w="80" w:type="dxa"/>
              <w:start w:w="90" w:type="dxa"/>
              <w:bottom w:w="80" w:type="dxa"/>
              <w:end w:w="90" w:type="dxa"/>
            </w:tcMar>
            <w:vAlign w:val="center"/>
          </w:tcPr>
          <w:p>
            <w:pPr>
              <w:spacing w:after="0"/>
              <w:jc w:val="left"/>
            </w:pPr>
            <w:r>
              <w:rPr>
                <w:rFonts w:ascii="Arial" w:hAnsi="Arial"/>
                <w:b/>
                <w:color w:val="FFFFFF"/>
                <w:sz w:val="17"/>
              </w:rPr>
              <w:t>Stop / fix before campaign</w:t>
            </w:r>
          </w:p>
        </w:tc>
      </w:tr>
      <w:tr>
        <w:trPr>
          <w:cantSplit/>
        </w:trPr>
        <w:tc>
          <w:tcPr>
            <w:tcW w:type="dxa" w:w="2376"/>
            <w:tcMar>
              <w:top w:w="70" w:type="dxa"/>
              <w:start w:w="85" w:type="dxa"/>
              <w:bottom w:w="70" w:type="dxa"/>
              <w:end w:w="85" w:type="dxa"/>
            </w:tcMar>
            <w:vAlign w:val="top"/>
          </w:tcPr>
          <w:p>
            <w:pPr>
              <w:spacing w:after="0" w:line="247" w:lineRule="auto"/>
            </w:pPr>
            <w:r>
              <w:rPr>
                <w:rFonts w:ascii="Arial" w:hAnsi="Arial"/>
                <w:sz w:val="17"/>
              </w:rPr>
              <w:t>Timestamp order</w:t>
            </w:r>
          </w:p>
        </w:tc>
        <w:tc>
          <w:tcPr>
            <w:tcW w:type="dxa" w:w="4104"/>
            <w:tcMar>
              <w:top w:w="70" w:type="dxa"/>
              <w:start w:w="85" w:type="dxa"/>
              <w:bottom w:w="70" w:type="dxa"/>
              <w:end w:w="85" w:type="dxa"/>
            </w:tcMar>
            <w:vAlign w:val="top"/>
          </w:tcPr>
          <w:p>
            <w:pPr>
              <w:spacing w:after="0" w:line="247" w:lineRule="auto"/>
            </w:pPr>
            <w:r>
              <w:rPr>
                <w:rFonts w:ascii="Arial" w:hAnsi="Arial"/>
                <w:sz w:val="17"/>
              </w:rPr>
              <w:t>Strictly increasing timestamps preferred; no negative dt.</w:t>
            </w:r>
          </w:p>
        </w:tc>
        <w:tc>
          <w:tcPr>
            <w:tcW w:type="dxa" w:w="3816"/>
            <w:tcMar>
              <w:top w:w="70" w:type="dxa"/>
              <w:start w:w="85" w:type="dxa"/>
              <w:bottom w:w="70" w:type="dxa"/>
              <w:end w:w="85" w:type="dxa"/>
            </w:tcMar>
            <w:vAlign w:val="top"/>
          </w:tcPr>
          <w:p>
            <w:pPr>
              <w:spacing w:after="0" w:line="247" w:lineRule="auto"/>
            </w:pPr>
            <w:r>
              <w:rPr>
                <w:rFonts w:ascii="Arial" w:hAnsi="Arial"/>
                <w:sz w:val="17"/>
              </w:rPr>
              <w:t>Any negative dt or recurrent duplicate timestamps.</w:t>
            </w:r>
          </w:p>
        </w:tc>
      </w:tr>
      <w:tr>
        <w:trPr>
          <w:cantSplit/>
        </w:trPr>
        <w:tc>
          <w:tcPr>
            <w:tcW w:type="dxa" w:w="2376"/>
            <w:shd w:fill="F8FAFC"/>
            <w:tcMar>
              <w:top w:w="70" w:type="dxa"/>
              <w:start w:w="85" w:type="dxa"/>
              <w:bottom w:w="70" w:type="dxa"/>
              <w:end w:w="85" w:type="dxa"/>
            </w:tcMar>
            <w:vAlign w:val="top"/>
          </w:tcPr>
          <w:p>
            <w:pPr>
              <w:spacing w:after="0" w:line="247" w:lineRule="auto"/>
            </w:pPr>
            <w:r>
              <w:rPr>
                <w:rFonts w:ascii="Arial" w:hAnsi="Arial"/>
                <w:sz w:val="17"/>
              </w:rPr>
              <w:t>dt distribution</w:t>
            </w:r>
          </w:p>
        </w:tc>
        <w:tc>
          <w:tcPr>
            <w:tcW w:type="dxa" w:w="4104"/>
            <w:shd w:fill="F8FAFC"/>
            <w:tcMar>
              <w:top w:w="70" w:type="dxa"/>
              <w:start w:w="85" w:type="dxa"/>
              <w:bottom w:w="70" w:type="dxa"/>
              <w:end w:w="85" w:type="dxa"/>
            </w:tcMar>
            <w:vAlign w:val="top"/>
          </w:tcPr>
          <w:p>
            <w:pPr>
              <w:spacing w:after="0" w:line="247" w:lineRule="auto"/>
            </w:pPr>
            <w:r>
              <w:rPr>
                <w:rFonts w:ascii="Arial" w:hAnsi="Arial"/>
                <w:sz w:val="17"/>
              </w:rPr>
              <w:t>Reasonably stable for the observed CRI/PC setup; isolated OS jitter documented.</w:t>
            </w:r>
          </w:p>
        </w:tc>
        <w:tc>
          <w:tcPr>
            <w:tcW w:type="dxa" w:w="3816"/>
            <w:shd w:fill="F8FAFC"/>
            <w:tcMar>
              <w:top w:w="70" w:type="dxa"/>
              <w:start w:w="85" w:type="dxa"/>
              <w:bottom w:w="70" w:type="dxa"/>
              <w:end w:w="85" w:type="dxa"/>
            </w:tcMar>
            <w:vAlign w:val="top"/>
          </w:tcPr>
          <w:p>
            <w:pPr>
              <w:spacing w:after="0" w:line="247" w:lineRule="auto"/>
            </w:pPr>
            <w:r>
              <w:rPr>
                <w:rFonts w:ascii="Arial" w:hAnsi="Arial"/>
                <w:sz w:val="17"/>
              </w:rPr>
              <w:t>Large irregular gaps, repeated zero dt, or evidence that logging blocks reception.</w:t>
            </w:r>
          </w:p>
        </w:tc>
      </w:tr>
      <w:tr>
        <w:trPr>
          <w:cantSplit/>
        </w:trPr>
        <w:tc>
          <w:tcPr>
            <w:tcW w:type="dxa" w:w="2376"/>
            <w:tcMar>
              <w:top w:w="70" w:type="dxa"/>
              <w:start w:w="85" w:type="dxa"/>
              <w:bottom w:w="70" w:type="dxa"/>
              <w:end w:w="85" w:type="dxa"/>
            </w:tcMar>
            <w:vAlign w:val="top"/>
          </w:tcPr>
          <w:p>
            <w:pPr>
              <w:spacing w:after="0" w:line="247" w:lineRule="auto"/>
            </w:pPr>
            <w:r>
              <w:rPr>
                <w:rFonts w:ascii="Arial" w:hAnsi="Arial"/>
                <w:sz w:val="17"/>
              </w:rPr>
              <w:t>Required signals</w:t>
            </w:r>
          </w:p>
        </w:tc>
        <w:tc>
          <w:tcPr>
            <w:tcW w:type="dxa" w:w="4104"/>
            <w:tcMar>
              <w:top w:w="70" w:type="dxa"/>
              <w:start w:w="85" w:type="dxa"/>
              <w:bottom w:w="70" w:type="dxa"/>
              <w:end w:w="85" w:type="dxa"/>
            </w:tcMar>
            <w:vAlign w:val="top"/>
          </w:tcPr>
          <w:p>
            <w:pPr>
              <w:spacing w:after="0" w:line="247" w:lineRule="auto"/>
            </w:pPr>
            <w:r>
              <w:rPr>
                <w:rFonts w:ascii="Arial" w:hAnsi="Arial"/>
                <w:sz w:val="17"/>
              </w:rPr>
              <w:t>q1..q6 and current1..6 finite for essentially all samples.</w:t>
            </w:r>
          </w:p>
        </w:tc>
        <w:tc>
          <w:tcPr>
            <w:tcW w:type="dxa" w:w="3816"/>
            <w:tcMar>
              <w:top w:w="70" w:type="dxa"/>
              <w:start w:w="85" w:type="dxa"/>
              <w:bottom w:w="70" w:type="dxa"/>
              <w:end w:w="85" w:type="dxa"/>
            </w:tcMar>
            <w:vAlign w:val="top"/>
          </w:tcPr>
          <w:p>
            <w:pPr>
              <w:spacing w:after="0" w:line="247" w:lineRule="auto"/>
            </w:pPr>
            <w:r>
              <w:rPr>
                <w:rFonts w:ascii="Arial" w:hAnsi="Arial"/>
                <w:sz w:val="17"/>
              </w:rPr>
              <w:t>Missing/non-finite target signals or silent zero substitution.</w:t>
            </w:r>
          </w:p>
        </w:tc>
      </w:tr>
      <w:tr>
        <w:trPr>
          <w:cantSplit/>
        </w:trPr>
        <w:tc>
          <w:tcPr>
            <w:tcW w:type="dxa" w:w="2376"/>
            <w:shd w:fill="F8FAFC"/>
            <w:tcMar>
              <w:top w:w="70" w:type="dxa"/>
              <w:start w:w="85" w:type="dxa"/>
              <w:bottom w:w="70" w:type="dxa"/>
              <w:end w:w="85" w:type="dxa"/>
            </w:tcMar>
            <w:vAlign w:val="top"/>
          </w:tcPr>
          <w:p>
            <w:pPr>
              <w:spacing w:after="0" w:line="247" w:lineRule="auto"/>
            </w:pPr>
            <w:r>
              <w:rPr>
                <w:rFonts w:ascii="Arial" w:hAnsi="Arial"/>
                <w:sz w:val="17"/>
              </w:rPr>
              <w:t>Current behavior</w:t>
            </w:r>
          </w:p>
        </w:tc>
        <w:tc>
          <w:tcPr>
            <w:tcW w:type="dxa" w:w="4104"/>
            <w:shd w:fill="F8FAFC"/>
            <w:tcMar>
              <w:top w:w="70" w:type="dxa"/>
              <w:start w:w="85" w:type="dxa"/>
              <w:bottom w:w="70" w:type="dxa"/>
              <w:end w:w="85" w:type="dxa"/>
            </w:tcMar>
            <w:vAlign w:val="top"/>
          </w:tcPr>
          <w:p>
            <w:pPr>
              <w:spacing w:after="0" w:line="247" w:lineRule="auto"/>
            </w:pPr>
            <w:r>
              <w:rPr>
                <w:rFonts w:ascii="Arial" w:hAnsi="Arial"/>
                <w:sz w:val="17"/>
              </w:rPr>
              <w:t>Each channel shows plausible nonzero baseline and motion-related variation where expected.</w:t>
            </w:r>
          </w:p>
        </w:tc>
        <w:tc>
          <w:tcPr>
            <w:tcW w:type="dxa" w:w="3816"/>
            <w:shd w:fill="F8FAFC"/>
            <w:tcMar>
              <w:top w:w="70" w:type="dxa"/>
              <w:start w:w="85" w:type="dxa"/>
              <w:bottom w:w="70" w:type="dxa"/>
              <w:end w:w="85" w:type="dxa"/>
            </w:tcMar>
            <w:vAlign w:val="top"/>
          </w:tcPr>
          <w:p>
            <w:pPr>
              <w:spacing w:after="0" w:line="247" w:lineRule="auto"/>
            </w:pPr>
            <w:r>
              <w:rPr>
                <w:rFonts w:ascii="Arial" w:hAnsi="Arial"/>
                <w:sz w:val="17"/>
              </w:rPr>
              <w:t>All-zero channel, unexplained flat line, or obvious saturation/clipping.</w:t>
            </w:r>
          </w:p>
        </w:tc>
      </w:tr>
      <w:tr>
        <w:trPr>
          <w:cantSplit/>
        </w:trPr>
        <w:tc>
          <w:tcPr>
            <w:tcW w:type="dxa" w:w="2376"/>
            <w:tcMar>
              <w:top w:w="70" w:type="dxa"/>
              <w:start w:w="85" w:type="dxa"/>
              <w:bottom w:w="70" w:type="dxa"/>
              <w:end w:w="85" w:type="dxa"/>
            </w:tcMar>
            <w:vAlign w:val="top"/>
          </w:tcPr>
          <w:p>
            <w:pPr>
              <w:spacing w:after="0" w:line="247" w:lineRule="auto"/>
            </w:pPr>
            <w:r>
              <w:rPr>
                <w:rFonts w:ascii="Arial" w:hAnsi="Arial"/>
                <w:sz w:val="17"/>
              </w:rPr>
              <w:t>Metadata</w:t>
            </w:r>
          </w:p>
        </w:tc>
        <w:tc>
          <w:tcPr>
            <w:tcW w:type="dxa" w:w="4104"/>
            <w:tcMar>
              <w:top w:w="70" w:type="dxa"/>
              <w:start w:w="85" w:type="dxa"/>
              <w:bottom w:w="70" w:type="dxa"/>
              <w:end w:w="85" w:type="dxa"/>
            </w:tcMar>
            <w:vAlign w:val="top"/>
          </w:tcPr>
          <w:p>
            <w:pPr>
              <w:spacing w:after="0" w:line="247" w:lineRule="auto"/>
            </w:pPr>
            <w:r>
              <w:rPr>
                <w:rFonts w:ascii="Arial" w:hAnsi="Arial"/>
                <w:sz w:val="17"/>
              </w:rPr>
              <w:t>Exactly one correct experiment/trajectory/run/condition value per file.</w:t>
            </w:r>
          </w:p>
        </w:tc>
        <w:tc>
          <w:tcPr>
            <w:tcW w:type="dxa" w:w="3816"/>
            <w:tcMar>
              <w:top w:w="70" w:type="dxa"/>
              <w:start w:w="85" w:type="dxa"/>
              <w:bottom w:w="70" w:type="dxa"/>
              <w:end w:w="85" w:type="dxa"/>
            </w:tcMar>
            <w:vAlign w:val="top"/>
          </w:tcPr>
          <w:p>
            <w:pPr>
              <w:spacing w:after="0" w:line="247" w:lineRule="auto"/>
            </w:pPr>
            <w:r>
              <w:rPr>
                <w:rFonts w:ascii="Arial" w:hAnsi="Arial"/>
                <w:sz w:val="17"/>
              </w:rPr>
              <w:t>Metadata changes within a run or wrong labels.</w:t>
            </w:r>
          </w:p>
        </w:tc>
      </w:tr>
      <w:tr>
        <w:trPr>
          <w:cantSplit/>
        </w:trPr>
        <w:tc>
          <w:tcPr>
            <w:tcW w:type="dxa" w:w="2376"/>
            <w:shd w:fill="F8FAFC"/>
            <w:tcMar>
              <w:top w:w="70" w:type="dxa"/>
              <w:start w:w="85" w:type="dxa"/>
              <w:bottom w:w="70" w:type="dxa"/>
              <w:end w:w="85" w:type="dxa"/>
            </w:tcMar>
            <w:vAlign w:val="top"/>
          </w:tcPr>
          <w:p>
            <w:pPr>
              <w:spacing w:after="0" w:line="247" w:lineRule="auto"/>
            </w:pPr>
            <w:r>
              <w:rPr>
                <w:rFonts w:ascii="Arial" w:hAnsi="Arial"/>
                <w:sz w:val="17"/>
              </w:rPr>
              <w:t>Traceability</w:t>
            </w:r>
          </w:p>
        </w:tc>
        <w:tc>
          <w:tcPr>
            <w:tcW w:type="dxa" w:w="4104"/>
            <w:shd w:fill="F8FAFC"/>
            <w:tcMar>
              <w:top w:w="70" w:type="dxa"/>
              <w:start w:w="85" w:type="dxa"/>
              <w:bottom w:w="70" w:type="dxa"/>
              <w:end w:w="85" w:type="dxa"/>
            </w:tcMar>
            <w:vAlign w:val="top"/>
          </w:tcPr>
          <w:p>
            <w:pPr>
              <w:spacing w:after="0" w:line="247" w:lineRule="auto"/>
            </w:pPr>
            <w:r>
              <w:rPr>
                <w:rFonts w:ascii="Arial" w:hAnsi="Arial"/>
                <w:sz w:val="17"/>
              </w:rPr>
              <w:t>One file per run; no overwrite; file path captured in lab notes.</w:t>
            </w:r>
          </w:p>
        </w:tc>
        <w:tc>
          <w:tcPr>
            <w:tcW w:type="dxa" w:w="3816"/>
            <w:shd w:fill="F8FAFC"/>
            <w:tcMar>
              <w:top w:w="70" w:type="dxa"/>
              <w:start w:w="85" w:type="dxa"/>
              <w:bottom w:w="70" w:type="dxa"/>
              <w:end w:w="85" w:type="dxa"/>
            </w:tcMar>
            <w:vAlign w:val="top"/>
          </w:tcPr>
          <w:p>
            <w:pPr>
              <w:spacing w:after="0" w:line="247" w:lineRule="auto"/>
            </w:pPr>
            <w:r>
              <w:rPr>
                <w:rFonts w:ascii="Arial" w:hAnsi="Arial"/>
                <w:sz w:val="17"/>
              </w:rPr>
              <w:t>Mixed trajectories in one run without a clear boundary.</w:t>
            </w:r>
          </w:p>
        </w:tc>
      </w:tr>
      <w:tr>
        <w:trPr>
          <w:cantSplit/>
        </w:trPr>
        <w:tc>
          <w:tcPr>
            <w:tcW w:type="dxa" w:w="2376"/>
            <w:tcMar>
              <w:top w:w="70" w:type="dxa"/>
              <w:start w:w="85" w:type="dxa"/>
              <w:bottom w:w="70" w:type="dxa"/>
              <w:end w:w="85" w:type="dxa"/>
            </w:tcMar>
            <w:vAlign w:val="top"/>
          </w:tcPr>
          <w:p>
            <w:pPr>
              <w:spacing w:after="0" w:line="247" w:lineRule="auto"/>
            </w:pPr>
            <w:r>
              <w:rPr>
                <w:rFonts w:ascii="Arial" w:hAnsi="Arial"/>
                <w:sz w:val="17"/>
              </w:rPr>
              <w:t>Derived qdot/qddot</w:t>
            </w:r>
          </w:p>
        </w:tc>
        <w:tc>
          <w:tcPr>
            <w:tcW w:type="dxa" w:w="4104"/>
            <w:tcMar>
              <w:top w:w="70" w:type="dxa"/>
              <w:start w:w="85" w:type="dxa"/>
              <w:bottom w:w="70" w:type="dxa"/>
              <w:end w:w="85" w:type="dxa"/>
            </w:tcMar>
            <w:vAlign w:val="top"/>
          </w:tcPr>
          <w:p>
            <w:pPr>
              <w:spacing w:after="0" w:line="247" w:lineRule="auto"/>
            </w:pPr>
            <w:r>
              <w:rPr>
                <w:rFonts w:ascii="Arial" w:hAnsi="Arial"/>
                <w:sz w:val="17"/>
              </w:rPr>
              <w:t>May be stored for reference, but will be recomputed offline.</w:t>
            </w:r>
          </w:p>
        </w:tc>
        <w:tc>
          <w:tcPr>
            <w:tcW w:type="dxa" w:w="3816"/>
            <w:tcMar>
              <w:top w:w="70" w:type="dxa"/>
              <w:start w:w="85" w:type="dxa"/>
              <w:bottom w:w="70" w:type="dxa"/>
              <w:end w:w="85" w:type="dxa"/>
            </w:tcMar>
            <w:vAlign w:val="top"/>
          </w:tcPr>
          <w:p>
            <w:pPr>
              <w:spacing w:after="0" w:line="247" w:lineRule="auto"/>
            </w:pPr>
            <w:r>
              <w:rPr>
                <w:rFonts w:ascii="Arial" w:hAnsi="Arial"/>
                <w:sz w:val="17"/>
              </w:rPr>
              <w:t>Using raw finite-difference acceleration as the final Model B signal without filtering/validation.</w:t>
            </w:r>
          </w:p>
        </w:tc>
      </w:tr>
    </w:tbl>
    <w:p>
      <w:pPr>
        <w:spacing w:after="20"/>
      </w:pPr>
    </w:p>
    <w:p>
      <w:pPr>
        <w:pStyle w:val="Heading1"/>
      </w:pPr>
      <w:r>
        <w:t>6. Full no-load identification campaign after the dry test passes</w:t>
      </w:r>
    </w:p>
    <w:p>
      <w:r>
        <w:t>The goal is not maximum data volume; it is identifiability, repeatability, and clean held-out runs. Each trajectory should contain both motion directions where safely possible so friction sign effects are observable.</w:t>
      </w:r>
    </w:p>
    <w:tbl>
      <w:tblPr>
        <w:tblW w:type="auto" w:w="0"/>
        <w:jc w:val="center"/>
        <w:tblLayout w:type="fixed"/>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2232"/>
        <w:gridCol w:w="5400"/>
        <w:gridCol w:w="2664"/>
      </w:tblGrid>
      <w:tr>
        <w:trPr>
          <w:tblHeader w:val="true"/>
        </w:trPr>
        <w:tc>
          <w:tcPr>
            <w:tcW w:type="dxa" w:w="3389"/>
            <w:shd w:fill="123A5A"/>
            <w:tcMar>
              <w:top w:w="80" w:type="dxa"/>
              <w:start w:w="90" w:type="dxa"/>
              <w:bottom w:w="80" w:type="dxa"/>
              <w:end w:w="90" w:type="dxa"/>
            </w:tcMar>
            <w:vAlign w:val="center"/>
          </w:tcPr>
          <w:p>
            <w:pPr>
              <w:spacing w:after="0"/>
              <w:jc w:val="left"/>
            </w:pPr>
            <w:r>
              <w:rPr>
                <w:rFonts w:ascii="Arial" w:hAnsi="Arial"/>
                <w:b/>
                <w:color w:val="FFFFFF"/>
                <w:sz w:val="17"/>
              </w:rPr>
              <w:t>Block</w:t>
            </w:r>
          </w:p>
        </w:tc>
        <w:tc>
          <w:tcPr>
            <w:tcW w:type="dxa" w:w="3389"/>
            <w:shd w:fill="123A5A"/>
            <w:tcMar>
              <w:top w:w="80" w:type="dxa"/>
              <w:start w:w="90" w:type="dxa"/>
              <w:bottom w:w="80" w:type="dxa"/>
              <w:end w:w="90" w:type="dxa"/>
            </w:tcMar>
            <w:vAlign w:val="center"/>
          </w:tcPr>
          <w:p>
            <w:pPr>
              <w:spacing w:after="0"/>
              <w:jc w:val="left"/>
            </w:pPr>
            <w:r>
              <w:rPr>
                <w:rFonts w:ascii="Arial" w:hAnsi="Arial"/>
                <w:b/>
                <w:color w:val="FFFFFF"/>
                <w:sz w:val="17"/>
              </w:rPr>
              <w:t>Suggested content</w:t>
            </w:r>
          </w:p>
        </w:tc>
        <w:tc>
          <w:tcPr>
            <w:tcW w:type="dxa" w:w="3389"/>
            <w:shd w:fill="123A5A"/>
            <w:tcMar>
              <w:top w:w="80" w:type="dxa"/>
              <w:start w:w="90" w:type="dxa"/>
              <w:bottom w:w="80" w:type="dxa"/>
              <w:end w:w="90" w:type="dxa"/>
            </w:tcMar>
            <w:vAlign w:val="center"/>
          </w:tcPr>
          <w:p>
            <w:pPr>
              <w:spacing w:after="0"/>
              <w:jc w:val="left"/>
            </w:pPr>
            <w:r>
              <w:rPr>
                <w:rFonts w:ascii="Arial" w:hAnsi="Arial"/>
                <w:b/>
                <w:color w:val="FFFFFF"/>
                <w:sz w:val="17"/>
              </w:rPr>
              <w:t>Why</w:t>
            </w:r>
          </w:p>
        </w:tc>
      </w:tr>
      <w:tr>
        <w:trPr>
          <w:cantSplit/>
        </w:trPr>
        <w:tc>
          <w:tcPr>
            <w:tcW w:type="dxa" w:w="2232"/>
            <w:tcMar>
              <w:top w:w="70" w:type="dxa"/>
              <w:start w:w="85" w:type="dxa"/>
              <w:bottom w:w="70" w:type="dxa"/>
              <w:end w:w="85" w:type="dxa"/>
            </w:tcMar>
            <w:vAlign w:val="top"/>
          </w:tcPr>
          <w:p>
            <w:pPr>
              <w:spacing w:after="0" w:line="247" w:lineRule="auto"/>
            </w:pPr>
            <w:r>
              <w:rPr>
                <w:rFonts w:ascii="Arial" w:hAnsi="Arial"/>
                <w:sz w:val="17"/>
              </w:rPr>
              <w:t>Single-joint excitation</w:t>
            </w:r>
          </w:p>
        </w:tc>
        <w:tc>
          <w:tcPr>
            <w:tcW w:type="dxa" w:w="5400"/>
            <w:tcMar>
              <w:top w:w="70" w:type="dxa"/>
              <w:start w:w="85" w:type="dxa"/>
              <w:bottom w:w="70" w:type="dxa"/>
              <w:end w:w="85" w:type="dxa"/>
            </w:tcMar>
            <w:vAlign w:val="top"/>
          </w:tcPr>
          <w:p>
            <w:pPr>
              <w:spacing w:after="0" w:line="247" w:lineRule="auto"/>
            </w:pPr>
            <w:r>
              <w:rPr>
                <w:rFonts w:ascii="Arial" w:hAnsi="Arial"/>
                <w:sz w:val="17"/>
              </w:rPr>
              <w:t>For J1-J6, run safe positive/negative sweeps one joint at a time while other joints remain at defined poses.</w:t>
            </w:r>
          </w:p>
        </w:tc>
        <w:tc>
          <w:tcPr>
            <w:tcW w:type="dxa" w:w="2664"/>
            <w:tcMar>
              <w:top w:w="70" w:type="dxa"/>
              <w:start w:w="85" w:type="dxa"/>
              <w:bottom w:w="70" w:type="dxa"/>
              <w:end w:w="85" w:type="dxa"/>
            </w:tcMar>
            <w:vAlign w:val="top"/>
          </w:tcPr>
          <w:p>
            <w:pPr>
              <w:spacing w:after="0" w:line="247" w:lineRule="auto"/>
            </w:pPr>
            <w:r>
              <w:rPr>
                <w:rFonts w:ascii="Arial" w:hAnsi="Arial"/>
                <w:sz w:val="17"/>
              </w:rPr>
              <w:t>Separates per-joint velocity/friction and simple gravity effects.</w:t>
            </w:r>
          </w:p>
        </w:tc>
      </w:tr>
      <w:tr>
        <w:trPr>
          <w:cantSplit/>
        </w:trPr>
        <w:tc>
          <w:tcPr>
            <w:tcW w:type="dxa" w:w="2232"/>
            <w:shd w:fill="F8FAFC"/>
            <w:tcMar>
              <w:top w:w="70" w:type="dxa"/>
              <w:start w:w="85" w:type="dxa"/>
              <w:bottom w:w="70" w:type="dxa"/>
              <w:end w:w="85" w:type="dxa"/>
            </w:tcMar>
            <w:vAlign w:val="top"/>
          </w:tcPr>
          <w:p>
            <w:pPr>
              <w:spacing w:after="0" w:line="247" w:lineRule="auto"/>
            </w:pPr>
            <w:r>
              <w:rPr>
                <w:rFonts w:ascii="Arial" w:hAnsi="Arial"/>
                <w:sz w:val="17"/>
              </w:rPr>
              <w:t>Speed diversity</w:t>
            </w:r>
          </w:p>
        </w:tc>
        <w:tc>
          <w:tcPr>
            <w:tcW w:type="dxa" w:w="5400"/>
            <w:shd w:fill="F8FAFC"/>
            <w:tcMar>
              <w:top w:w="70" w:type="dxa"/>
              <w:start w:w="85" w:type="dxa"/>
              <w:bottom w:w="70" w:type="dxa"/>
              <w:end w:w="85" w:type="dxa"/>
            </w:tcMar>
            <w:vAlign w:val="top"/>
          </w:tcPr>
          <w:p>
            <w:pPr>
              <w:spacing w:after="0" w:line="247" w:lineRule="auto"/>
            </w:pPr>
            <w:r>
              <w:rPr>
                <w:rFonts w:ascii="Arial" w:hAnsi="Arial"/>
                <w:sz w:val="17"/>
              </w:rPr>
              <w:t>Repeat at lab-approved low, medium, and higher safe commanded speeds.</w:t>
            </w:r>
          </w:p>
        </w:tc>
        <w:tc>
          <w:tcPr>
            <w:tcW w:type="dxa" w:w="2664"/>
            <w:shd w:fill="F8FAFC"/>
            <w:tcMar>
              <w:top w:w="70" w:type="dxa"/>
              <w:start w:w="85" w:type="dxa"/>
              <w:bottom w:w="70" w:type="dxa"/>
              <w:end w:w="85" w:type="dxa"/>
            </w:tcMar>
            <w:vAlign w:val="top"/>
          </w:tcPr>
          <w:p>
            <w:pPr>
              <w:spacing w:after="0" w:line="247" w:lineRule="auto"/>
            </w:pPr>
            <w:r>
              <w:rPr>
                <w:rFonts w:ascii="Arial" w:hAnsi="Arial"/>
                <w:sz w:val="17"/>
              </w:rPr>
              <w:t>Excites viscous/friction terms and tests model generality.</w:t>
            </w:r>
          </w:p>
        </w:tc>
      </w:tr>
      <w:tr>
        <w:trPr>
          <w:cantSplit/>
        </w:trPr>
        <w:tc>
          <w:tcPr>
            <w:tcW w:type="dxa" w:w="2232"/>
            <w:tcMar>
              <w:top w:w="70" w:type="dxa"/>
              <w:start w:w="85" w:type="dxa"/>
              <w:bottom w:w="70" w:type="dxa"/>
              <w:end w:w="85" w:type="dxa"/>
            </w:tcMar>
            <w:vAlign w:val="top"/>
          </w:tcPr>
          <w:p>
            <w:pPr>
              <w:spacing w:after="0" w:line="247" w:lineRule="auto"/>
            </w:pPr>
            <w:r>
              <w:rPr>
                <w:rFonts w:ascii="Arial" w:hAnsi="Arial"/>
                <w:sz w:val="17"/>
              </w:rPr>
              <w:t>Run repeats</w:t>
            </w:r>
          </w:p>
        </w:tc>
        <w:tc>
          <w:tcPr>
            <w:tcW w:type="dxa" w:w="5400"/>
            <w:tcMar>
              <w:top w:w="70" w:type="dxa"/>
              <w:start w:w="85" w:type="dxa"/>
              <w:bottom w:w="70" w:type="dxa"/>
              <w:end w:w="85" w:type="dxa"/>
            </w:tcMar>
            <w:vAlign w:val="top"/>
          </w:tcPr>
          <w:p>
            <w:pPr>
              <w:spacing w:after="0" w:line="247" w:lineRule="auto"/>
            </w:pPr>
            <w:r>
              <w:rPr>
                <w:rFonts w:ascii="Arial" w:hAnsi="Arial"/>
                <w:sz w:val="17"/>
              </w:rPr>
              <w:t>At least 2-3 separate run IDs per trajectory/speed during the identification phase.</w:t>
            </w:r>
          </w:p>
        </w:tc>
        <w:tc>
          <w:tcPr>
            <w:tcW w:type="dxa" w:w="2664"/>
            <w:tcMar>
              <w:top w:w="70" w:type="dxa"/>
              <w:start w:w="85" w:type="dxa"/>
              <w:bottom w:w="70" w:type="dxa"/>
              <w:end w:w="85" w:type="dxa"/>
            </w:tcMar>
            <w:vAlign w:val="top"/>
          </w:tcPr>
          <w:p>
            <w:pPr>
              <w:spacing w:after="0" w:line="247" w:lineRule="auto"/>
            </w:pPr>
            <w:r>
              <w:rPr>
                <w:rFonts w:ascii="Arial" w:hAnsi="Arial"/>
                <w:sz w:val="17"/>
              </w:rPr>
              <w:t>Allows whole-run holdout and avoids adjacent-sample leakage.</w:t>
            </w:r>
          </w:p>
        </w:tc>
      </w:tr>
      <w:tr>
        <w:trPr>
          <w:cantSplit/>
        </w:trPr>
        <w:tc>
          <w:tcPr>
            <w:tcW w:type="dxa" w:w="2232"/>
            <w:shd w:fill="F8FAFC"/>
            <w:tcMar>
              <w:top w:w="70" w:type="dxa"/>
              <w:start w:w="85" w:type="dxa"/>
              <w:bottom w:w="70" w:type="dxa"/>
              <w:end w:w="85" w:type="dxa"/>
            </w:tcMar>
            <w:vAlign w:val="top"/>
          </w:tcPr>
          <w:p>
            <w:pPr>
              <w:spacing w:after="0" w:line="247" w:lineRule="auto"/>
            </w:pPr>
            <w:r>
              <w:rPr>
                <w:rFonts w:ascii="Arial" w:hAnsi="Arial"/>
                <w:sz w:val="17"/>
              </w:rPr>
              <w:t>Multi-joint trajectories</w:t>
            </w:r>
          </w:p>
        </w:tc>
        <w:tc>
          <w:tcPr>
            <w:tcW w:type="dxa" w:w="5400"/>
            <w:shd w:fill="F8FAFC"/>
            <w:tcMar>
              <w:top w:w="70" w:type="dxa"/>
              <w:start w:w="85" w:type="dxa"/>
              <w:bottom w:w="70" w:type="dxa"/>
              <w:end w:w="85" w:type="dxa"/>
            </w:tcMar>
            <w:vAlign w:val="top"/>
          </w:tcPr>
          <w:p>
            <w:pPr>
              <w:spacing w:after="0" w:line="247" w:lineRule="auto"/>
            </w:pPr>
            <w:r>
              <w:rPr>
                <w:rFonts w:ascii="Arial" w:hAnsi="Arial"/>
                <w:sz w:val="17"/>
              </w:rPr>
              <w:t>Add several representative repeatable paths after single-joint data are clean.</w:t>
            </w:r>
          </w:p>
        </w:tc>
        <w:tc>
          <w:tcPr>
            <w:tcW w:type="dxa" w:w="2664"/>
            <w:shd w:fill="F8FAFC"/>
            <w:tcMar>
              <w:top w:w="70" w:type="dxa"/>
              <w:start w:w="85" w:type="dxa"/>
              <w:bottom w:w="70" w:type="dxa"/>
              <w:end w:w="85" w:type="dxa"/>
            </w:tcMar>
            <w:vAlign w:val="top"/>
          </w:tcPr>
          <w:p>
            <w:pPr>
              <w:spacing w:after="0" w:line="247" w:lineRule="auto"/>
            </w:pPr>
            <w:r>
              <w:rPr>
                <w:rFonts w:ascii="Arial" w:hAnsi="Arial"/>
                <w:sz w:val="17"/>
              </w:rPr>
              <w:t>Tests coupling/generalization and later supports multi-DOF terms.</w:t>
            </w:r>
          </w:p>
        </w:tc>
      </w:tr>
      <w:tr>
        <w:trPr>
          <w:cantSplit/>
        </w:trPr>
        <w:tc>
          <w:tcPr>
            <w:tcW w:type="dxa" w:w="2232"/>
            <w:tcMar>
              <w:top w:w="70" w:type="dxa"/>
              <w:start w:w="85" w:type="dxa"/>
              <w:bottom w:w="70" w:type="dxa"/>
              <w:end w:w="85" w:type="dxa"/>
            </w:tcMar>
            <w:vAlign w:val="top"/>
          </w:tcPr>
          <w:p>
            <w:pPr>
              <w:spacing w:after="0" w:line="247" w:lineRule="auto"/>
            </w:pPr>
            <w:r>
              <w:rPr>
                <w:rFonts w:ascii="Arial" w:hAnsi="Arial"/>
                <w:sz w:val="17"/>
              </w:rPr>
              <w:t>Thermal labeling</w:t>
            </w:r>
          </w:p>
        </w:tc>
        <w:tc>
          <w:tcPr>
            <w:tcW w:type="dxa" w:w="5400"/>
            <w:tcMar>
              <w:top w:w="70" w:type="dxa"/>
              <w:start w:w="85" w:type="dxa"/>
              <w:bottom w:w="70" w:type="dxa"/>
              <w:end w:w="85" w:type="dxa"/>
            </w:tcMar>
            <w:vAlign w:val="top"/>
          </w:tcPr>
          <w:p>
            <w:pPr>
              <w:spacing w:after="0" w:line="247" w:lineRule="auto"/>
            </w:pPr>
            <w:r>
              <w:rPr>
                <w:rFonts w:ascii="Arial" w:hAnsi="Arial"/>
                <w:sz w:val="17"/>
              </w:rPr>
              <w:t>Record COLD/WARM condition honestly, but do not yet use the no-load identification campaign to tune VFF.</w:t>
            </w:r>
          </w:p>
        </w:tc>
        <w:tc>
          <w:tcPr>
            <w:tcW w:type="dxa" w:w="2664"/>
            <w:tcMar>
              <w:top w:w="70" w:type="dxa"/>
              <w:start w:w="85" w:type="dxa"/>
              <w:bottom w:w="70" w:type="dxa"/>
              <w:end w:w="85" w:type="dxa"/>
            </w:tcMar>
            <w:vAlign w:val="top"/>
          </w:tcPr>
          <w:p>
            <w:pPr>
              <w:spacing w:after="0" w:line="247" w:lineRule="auto"/>
            </w:pPr>
            <w:r>
              <w:rPr>
                <w:rFonts w:ascii="Arial" w:hAnsi="Arial"/>
                <w:sz w:val="17"/>
              </w:rPr>
              <w:t>Preserves context for later analysis while keeping the scientific sequence clean.</w:t>
            </w:r>
          </w:p>
        </w:tc>
      </w:tr>
    </w:tbl>
    <w:p>
      <w:pPr>
        <w:spacing w:after="20"/>
      </w:pPr>
    </w:p>
    <w:tbl>
      <w:tblPr>
        <w:tblW w:type="auto" w:w="0"/>
        <w:jc w:val="center"/>
        <w:tblLayout w:type="fixed"/>
        <w:tblLook w:firstColumn="1" w:firstRow="1" w:lastColumn="0" w:lastRow="0" w:noHBand="0" w:noVBand="1" w:val="04A0"/>
        <w:tblBorders>
          <w:top w:val="single" w:sz="1" w:space="0" w:color="EAF3F8"/>
          <w:left w:val="single" w:sz="1" w:space="0" w:color="EAF3F8"/>
          <w:bottom w:val="single" w:sz="1" w:space="0" w:color="EAF3F8"/>
          <w:right w:val="single" w:sz="1" w:space="0" w:color="EAF3F8"/>
          <w:insideH w:val="single" w:sz="1" w:space="0" w:color="EAF3F8"/>
          <w:insideV w:val="single" w:sz="1" w:space="0" w:color="EAF3F8"/>
        </w:tblBorders>
      </w:tblPr>
      <w:tblGrid>
        <w:gridCol w:w="2088"/>
        <w:gridCol w:w="7776"/>
      </w:tblGrid>
      <w:tr>
        <w:tc>
          <w:tcPr>
            <w:tcW w:type="dxa" w:w="5083"/>
            <w:shd w:fill="EAF3F8"/>
            <w:tcMar>
              <w:top w:w="115" w:type="dxa"/>
              <w:start w:w="120" w:type="dxa"/>
              <w:bottom w:w="115" w:type="dxa"/>
              <w:end w:w="120" w:type="dxa"/>
            </w:tcMar>
            <w:vAlign w:val="center"/>
          </w:tcPr>
          <w:p>
            <w:pPr>
              <w:spacing w:after="0"/>
            </w:pPr>
            <w:r>
              <w:rPr>
                <w:rFonts w:ascii="Arial" w:hAnsi="Arial"/>
                <w:b/>
                <w:color w:val="123A5A"/>
                <w:sz w:val="20"/>
              </w:rPr>
              <w:t>Run labels</w:t>
            </w:r>
          </w:p>
        </w:tc>
        <w:tc>
          <w:tcPr>
            <w:tcW w:type="dxa" w:w="5083"/>
            <w:shd w:fill="EAF3F8"/>
            <w:tcMar>
              <w:top w:w="115" w:type="dxa"/>
              <w:start w:w="120" w:type="dxa"/>
              <w:bottom w:w="115" w:type="dxa"/>
              <w:end w:w="120" w:type="dxa"/>
            </w:tcMar>
            <w:vAlign w:val="center"/>
          </w:tcPr>
          <w:p>
            <w:pPr>
              <w:spacing w:after="0"/>
            </w:pPr>
            <w:r>
              <w:rPr>
                <w:rFonts w:ascii="Arial" w:hAnsi="Arial"/>
                <w:sz w:val="20"/>
              </w:rPr>
              <w:t>For the first identification campaign use payload_g=0, contact_label=NORMAL, grasp_context=NONE. Keep experiment_id fixed for the campaign, use trajectory_id for the motion recipe, and increment run_id for true independent repeats.</w:t>
            </w:r>
          </w:p>
        </w:tc>
      </w:tr>
    </w:tbl>
    <w:p>
      <w:pPr>
        <w:spacing w:after="20"/>
      </w:pPr>
    </w:p>
    <w:p>
      <w:pPr>
        <w:pStyle w:val="Heading1"/>
      </w:pPr>
      <w:r>
        <w:t>7. What happens immediately after data collection</w:t>
      </w:r>
    </w:p>
    <w:p>
      <w:pPr>
        <w:pStyle w:val="ListNumber"/>
        <w:spacing w:after="80"/>
      </w:pPr>
      <w:r>
        <w:rPr>
          <w:b/>
        </w:rPr>
        <w:t xml:space="preserve">Build deterministic preprocessing. </w:t>
      </w:r>
      <w:r>
        <w:t>Retain the raw CSV; create separate modeling columns in rad, rad/s, rad/s^2 and A. Use measured dt. Filter qdot before differentiating.</w:t>
      </w:r>
    </w:p>
    <w:p>
      <w:pPr>
        <w:pStyle w:val="ListNumber"/>
        <w:spacing w:after="80"/>
      </w:pPr>
      <w:r>
        <w:rPr>
          <w:b/>
        </w:rPr>
        <w:t xml:space="preserve">Fit Model A first. </w:t>
      </w:r>
      <w:r>
        <w:t>Per joint: [1, qdot, tanh(qdot/v_s), sin(q), cos(q)]. Use whole runs for validation. Report train/held-out RMSE, MAE, residual mean/std, condition number, and residual plots.</w:t>
      </w:r>
    </w:p>
    <w:p>
      <w:pPr>
        <w:pStyle w:val="ListNumber"/>
        <w:spacing w:after="80"/>
      </w:pPr>
      <w:r>
        <w:rPr>
          <w:b/>
        </w:rPr>
        <w:t xml:space="preserve">Fit Model B second. </w:t>
      </w:r>
      <w:r>
        <w:t>Add reconstructed qddot using exactly the same train/validation split. Keep acceleration only if held-out performance improves meaningfully without noisy/unstable parameters.</w:t>
      </w:r>
    </w:p>
    <w:p>
      <w:pPr>
        <w:pStyle w:val="ListNumber"/>
        <w:spacing w:after="80"/>
      </w:pPr>
      <w:r>
        <w:rPr>
          <w:b/>
        </w:rPr>
        <w:t xml:space="preserve">Investigate cross-axis terms only after A/B. </w:t>
      </w:r>
      <w:r>
        <w:t>Use actual ReBeL geometry/data to justify any gravity/coupling features; do not add arbitrary sine combinations.</w:t>
      </w:r>
    </w:p>
    <w:p>
      <w:pPr>
        <w:pStyle w:val="ListNumber"/>
        <w:spacing w:after="80"/>
      </w:pPr>
      <w:r>
        <w:rPr>
          <w:b/>
        </w:rPr>
        <w:t xml:space="preserve">Freeze the regressor. </w:t>
      </w:r>
      <w:r>
        <w:t>Only after this decision should the project move to the thermal burn-in, context-gated VFF-RLS, state machine, threshold calibration, and final experiments.</w:t>
      </w:r>
    </w:p>
    <w:p>
      <w:pPr>
        <w:pStyle w:val="Heading1"/>
      </w:pPr>
      <w:r>
        <w:t>8. Do not do yet</w:t>
      </w:r>
    </w:p>
    <w:p>
      <w:pPr>
        <w:pStyle w:val="ListBullet"/>
        <w:spacing w:after="60"/>
      </w:pPr>
      <w:r>
        <w:t>Do not redesign the live FF-RLS into VFF-RLS before the normal-current regressor is frozen.</w:t>
      </w:r>
    </w:p>
    <w:p>
      <w:pPr>
        <w:pStyle w:val="ListBullet"/>
        <w:spacing w:after="60"/>
      </w:pPr>
      <w:r>
        <w:t>Do not tune collision, CUSUM, soft-contact, stationary, payload, or VFF thresholds on the no-load identification dataset.</w:t>
      </w:r>
    </w:p>
    <w:p>
      <w:pPr>
        <w:pStyle w:val="ListBullet"/>
        <w:spacing w:after="60"/>
      </w:pPr>
      <w:r>
        <w:t>Do not treat the existing live 3-parameter FF-RLS as the final physical model.</w:t>
      </w:r>
    </w:p>
    <w:p>
      <w:pPr>
        <w:pStyle w:val="ListBullet"/>
        <w:spacing w:after="60"/>
      </w:pPr>
      <w:r>
        <w:t>Do not use the live qddot column as proof that acceleration belongs in the final regressor.</w:t>
      </w:r>
    </w:p>
    <w:p>
      <w:pPr>
        <w:pStyle w:val="ListBullet"/>
        <w:spacing w:after="60"/>
      </w:pPr>
      <w:r>
        <w:t>Do not mix payload/collision trials into the first normal-operation identification campaign.</w:t>
      </w:r>
    </w:p>
    <w:p>
      <w:pPr>
        <w:pStyle w:val="ListBullet"/>
        <w:spacing w:after="60"/>
      </w:pPr>
      <w:r>
        <w:t>Do not retune thresholds on the final validation test set later.</w:t>
      </w:r>
    </w:p>
    <w:p>
      <w:pPr>
        <w:pStyle w:val="Heading1"/>
      </w:pPr>
      <w:r>
        <w:t>9. Strongly recommended reproducibility additions (not blockers)</w:t>
      </w:r>
    </w:p>
    <w:p>
      <w:pPr>
        <w:pStyle w:val="ListBullet"/>
        <w:spacing w:after="60"/>
      </w:pPr>
      <w:r>
        <w:t>Add code_version or git_commit to the run metadata so each dataset can be traced to the exact software revision.</w:t>
      </w:r>
    </w:p>
    <w:p>
      <w:pPr>
        <w:pStyle w:val="ListBullet"/>
        <w:spacing w:after="60"/>
      </w:pPr>
      <w:r>
        <w:t>Store a small experiment manifest (robot/controller version, tool configuration, ambient condition notes, operator notes, trajectory definition) beside the CSVs.</w:t>
      </w:r>
    </w:p>
    <w:p>
      <w:pPr>
        <w:pStyle w:val="ListBullet"/>
        <w:spacing w:after="60"/>
      </w:pPr>
      <w:r>
        <w:t>Save the quality-check report for every accepted run rather than only viewing it in the terminal.</w:t>
      </w:r>
    </w:p>
    <w:p>
      <w:pPr>
        <w:pStyle w:val="ListBullet"/>
        <w:spacing w:after="60"/>
      </w:pPr>
      <w:r>
        <w:t>Optionally add an automatic post-save quality summary in the GUI after Stop &amp; Save Run.</w:t>
      </w:r>
    </w:p>
    <w:p>
      <w:pPr>
        <w:pStyle w:val="Heading1"/>
      </w:pPr>
      <w:r>
        <w:t>10. Ready-to-paste Copilot task for the final pre-lab patch</w:t>
      </w:r>
    </w:p>
    <w:p>
      <w:pPr>
        <w:pStyle w:val="CodeBlock"/>
      </w:pPr>
      <w:r>
        <w:t>Repository: dungnguyen15213/6DOF-Rebel-Cobot-Control</w:t>
        <w:br/>
        <w:br/>
        <w:t>Goal: make the existing identification logger safe for the first no-load data-collection campaign without changing FF-RLS, CUSUM, VFF, payload logic, path planning, or the research model.</w:t>
        <w:br/>
        <w:br/>
        <w:t>Required changes:</w:t>
        <w:br/>
        <w:t>1) Freeze identification metadata when Start Identification Run is pressed. Do not call Qt widget getters from _on_robot_status_update; let IdentificationLogger use its metadata snapshot for every row.</w:t>
        <w:br/>
        <w:t>2) Do not replace missing CURRENTJOINTS telemetry with six zeros. Before recording, require six finite current values / CURRENTJOINTS availability, or write NaN/drop the sample with an explicit counter and warning.</w:t>
        <w:br/>
        <w:t>3) Keep raw q and current immutable. qdot/qddot remain derived candidate fields only.</w:t>
        <w:br/>
        <w:t>4) Review the receive-thread write path. If per-sample write+flush can block CRI receive processing, implement a bounded queue + writer thread (or safe batched flush) while preserving timestamp order and clean shutdown.</w:t>
        <w:br/>
        <w:t>5) Preserve the existing CSV schema and one-file-per-run behavior unless a new field is added for code_version/git_commit.</w:t>
        <w:br/>
        <w:t>6) Add/extend tests for: metadata frozen per run, missing current handling, duplicate filenames, monotonic sample order, clean close/disconnect, and quality-check output.</w:t>
        <w:br/>
        <w:br/>
        <w:t>Do not implement VFF-RLS or new anomaly thresholds in this task.</w:t>
      </w:r>
    </w:p>
    <w:p>
      <w:pPr>
        <w:pStyle w:val="Heading1"/>
      </w:pPr>
      <w:r>
        <w:t>11. Final go/no-go decision</w:t>
      </w:r>
    </w:p>
    <w:tbl>
      <w:tblPr>
        <w:tblW w:type="auto" w:w="0"/>
        <w:jc w:val="center"/>
        <w:tblLayout w:type="fixed"/>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4608"/>
        <w:gridCol w:w="5616"/>
      </w:tblGrid>
      <w:tr>
        <w:trPr>
          <w:tblHeader w:val="true"/>
        </w:trPr>
        <w:tc>
          <w:tcPr>
            <w:tcW w:type="dxa" w:w="5083"/>
            <w:shd w:fill="123A5A"/>
            <w:tcMar>
              <w:top w:w="80" w:type="dxa"/>
              <w:start w:w="90" w:type="dxa"/>
              <w:bottom w:w="80" w:type="dxa"/>
              <w:end w:w="90" w:type="dxa"/>
            </w:tcMar>
            <w:vAlign w:val="center"/>
          </w:tcPr>
          <w:p>
            <w:pPr>
              <w:spacing w:after="0"/>
              <w:jc w:val="left"/>
            </w:pPr>
            <w:r>
              <w:rPr>
                <w:rFonts w:ascii="Arial" w:hAnsi="Arial"/>
                <w:b/>
                <w:color w:val="FFFFFF"/>
                <w:sz w:val="18"/>
              </w:rPr>
              <w:t>Stage</w:t>
            </w:r>
          </w:p>
        </w:tc>
        <w:tc>
          <w:tcPr>
            <w:tcW w:type="dxa" w:w="5083"/>
            <w:shd w:fill="123A5A"/>
            <w:tcMar>
              <w:top w:w="80" w:type="dxa"/>
              <w:start w:w="90" w:type="dxa"/>
              <w:bottom w:w="80" w:type="dxa"/>
              <w:end w:w="90" w:type="dxa"/>
            </w:tcMar>
            <w:vAlign w:val="center"/>
          </w:tcPr>
          <w:p>
            <w:pPr>
              <w:spacing w:after="0"/>
              <w:jc w:val="left"/>
            </w:pPr>
            <w:r>
              <w:rPr>
                <w:rFonts w:ascii="Arial" w:hAnsi="Arial"/>
                <w:b/>
                <w:color w:val="FFFFFF"/>
                <w:sz w:val="18"/>
              </w:rPr>
              <w:t>Decision</w:t>
            </w:r>
          </w:p>
        </w:tc>
      </w:tr>
      <w:tr>
        <w:trPr>
          <w:cantSplit/>
        </w:trPr>
        <w:tc>
          <w:tcPr>
            <w:tcW w:type="dxa" w:w="4608"/>
            <w:tcMar>
              <w:top w:w="70" w:type="dxa"/>
              <w:start w:w="85" w:type="dxa"/>
              <w:bottom w:w="70" w:type="dxa"/>
              <w:end w:w="85" w:type="dxa"/>
            </w:tcMar>
            <w:vAlign w:val="top"/>
          </w:tcPr>
          <w:p>
            <w:pPr>
              <w:spacing w:after="0" w:line="247" w:lineRule="auto"/>
            </w:pPr>
            <w:r>
              <w:rPr>
                <w:rFonts w:ascii="Arial" w:hAnsi="Arial"/>
                <w:sz w:val="18"/>
              </w:rPr>
              <w:t>Take repository to lab for short no-load dry test</w:t>
            </w:r>
          </w:p>
        </w:tc>
        <w:tc>
          <w:tcPr>
            <w:tcW w:type="dxa" w:w="5616"/>
            <w:tcMar>
              <w:top w:w="70" w:type="dxa"/>
              <w:start w:w="85" w:type="dxa"/>
              <w:bottom w:w="70" w:type="dxa"/>
              <w:end w:w="85" w:type="dxa"/>
            </w:tcMar>
            <w:vAlign w:val="top"/>
          </w:tcPr>
          <w:p>
            <w:pPr>
              <w:spacing w:after="0" w:line="247" w:lineRule="auto"/>
            </w:pPr>
            <w:r>
              <w:rPr>
                <w:rFonts w:ascii="Arial" w:hAnsi="Arial"/>
                <w:sz w:val="18"/>
              </w:rPr>
              <w:t>GO now, using conservative motion and the existing quality checker.</w:t>
            </w:r>
          </w:p>
        </w:tc>
      </w:tr>
      <w:tr>
        <w:trPr>
          <w:cantSplit/>
        </w:trPr>
        <w:tc>
          <w:tcPr>
            <w:tcW w:type="dxa" w:w="4608"/>
            <w:shd w:fill="F8FAFC"/>
            <w:tcMar>
              <w:top w:w="70" w:type="dxa"/>
              <w:start w:w="85" w:type="dxa"/>
              <w:bottom w:w="70" w:type="dxa"/>
              <w:end w:w="85" w:type="dxa"/>
            </w:tcMar>
            <w:vAlign w:val="top"/>
          </w:tcPr>
          <w:p>
            <w:pPr>
              <w:spacing w:after="0" w:line="247" w:lineRule="auto"/>
            </w:pPr>
            <w:r>
              <w:rPr>
                <w:rFonts w:ascii="Arial" w:hAnsi="Arial"/>
                <w:sz w:val="18"/>
              </w:rPr>
              <w:t>Collect the full identification dataset for the paper</w:t>
            </w:r>
          </w:p>
        </w:tc>
        <w:tc>
          <w:tcPr>
            <w:tcW w:type="dxa" w:w="5616"/>
            <w:shd w:fill="F8FAFC"/>
            <w:tcMar>
              <w:top w:w="70" w:type="dxa"/>
              <w:start w:w="85" w:type="dxa"/>
              <w:bottom w:w="70" w:type="dxa"/>
              <w:end w:w="85" w:type="dxa"/>
            </w:tcMar>
            <w:vAlign w:val="top"/>
          </w:tcPr>
          <w:p>
            <w:pPr>
              <w:spacing w:after="0" w:line="247" w:lineRule="auto"/>
            </w:pPr>
            <w:r>
              <w:rPr>
                <w:rFonts w:ascii="Arial" w:hAnsi="Arial"/>
                <w:sz w:val="18"/>
              </w:rPr>
              <w:t>GO after the three pre-campaign risks are fixed or the dry test clearly demonstrates they are benign.</w:t>
            </w:r>
          </w:p>
        </w:tc>
      </w:tr>
      <w:tr>
        <w:trPr>
          <w:cantSplit/>
        </w:trPr>
        <w:tc>
          <w:tcPr>
            <w:tcW w:type="dxa" w:w="4608"/>
            <w:tcMar>
              <w:top w:w="70" w:type="dxa"/>
              <w:start w:w="85" w:type="dxa"/>
              <w:bottom w:w="70" w:type="dxa"/>
              <w:end w:w="85" w:type="dxa"/>
            </w:tcMar>
            <w:vAlign w:val="top"/>
          </w:tcPr>
          <w:p>
            <w:pPr>
              <w:spacing w:after="0" w:line="247" w:lineRule="auto"/>
            </w:pPr>
            <w:r>
              <w:rPr>
                <w:rFonts w:ascii="Arial" w:hAnsi="Arial"/>
                <w:sz w:val="18"/>
              </w:rPr>
              <w:t>Start VFF-RLS/state-machine implementation</w:t>
            </w:r>
          </w:p>
        </w:tc>
        <w:tc>
          <w:tcPr>
            <w:tcW w:type="dxa" w:w="5616"/>
            <w:tcMar>
              <w:top w:w="70" w:type="dxa"/>
              <w:start w:w="85" w:type="dxa"/>
              <w:bottom w:w="70" w:type="dxa"/>
              <w:end w:w="85" w:type="dxa"/>
            </w:tcMar>
            <w:vAlign w:val="top"/>
          </w:tcPr>
          <w:p>
            <w:pPr>
              <w:spacing w:after="0" w:line="247" w:lineRule="auto"/>
            </w:pPr>
            <w:r>
              <w:rPr>
                <w:rFonts w:ascii="Arial" w:hAnsi="Arial"/>
                <w:sz w:val="18"/>
              </w:rPr>
              <w:t>NO - wait until Model A/Model B and the final regressor are frozen.</w:t>
            </w:r>
          </w:p>
        </w:tc>
      </w:tr>
      <w:tr>
        <w:trPr>
          <w:cantSplit/>
        </w:trPr>
        <w:tc>
          <w:tcPr>
            <w:tcW w:type="dxa" w:w="4608"/>
            <w:shd w:fill="F8FAFC"/>
            <w:tcMar>
              <w:top w:w="70" w:type="dxa"/>
              <w:start w:w="85" w:type="dxa"/>
              <w:bottom w:w="70" w:type="dxa"/>
              <w:end w:w="85" w:type="dxa"/>
            </w:tcMar>
            <w:vAlign w:val="top"/>
          </w:tcPr>
          <w:p>
            <w:pPr>
              <w:spacing w:after="0" w:line="247" w:lineRule="auto"/>
            </w:pPr>
            <w:r>
              <w:rPr>
                <w:rFonts w:ascii="Arial" w:hAnsi="Arial"/>
                <w:sz w:val="18"/>
              </w:rPr>
              <w:t>Start payload/collision final validation</w:t>
            </w:r>
          </w:p>
        </w:tc>
        <w:tc>
          <w:tcPr>
            <w:tcW w:type="dxa" w:w="5616"/>
            <w:shd w:fill="F8FAFC"/>
            <w:tcMar>
              <w:top w:w="70" w:type="dxa"/>
              <w:start w:w="85" w:type="dxa"/>
              <w:bottom w:w="70" w:type="dxa"/>
              <w:end w:w="85" w:type="dxa"/>
            </w:tcMar>
            <w:vAlign w:val="top"/>
          </w:tcPr>
          <w:p>
            <w:pPr>
              <w:spacing w:after="0" w:line="247" w:lineRule="auto"/>
            </w:pPr>
            <w:r>
              <w:rPr>
                <w:rFonts w:ascii="Arial" w:hAnsi="Arial"/>
                <w:sz w:val="18"/>
              </w:rPr>
              <w:t>NO - wait for regressor freeze, thermal evidence, VFF/state implementation, and development calibration.</w:t>
            </w:r>
          </w:p>
        </w:tc>
      </w:tr>
    </w:tbl>
    <w:p>
      <w:pPr>
        <w:spacing w:after="20"/>
      </w:pPr>
    </w:p>
    <w:p>
      <w:pPr>
        <w:pStyle w:val="Heading1"/>
      </w:pPr>
      <w:r>
        <w:t>Source basis</w:t>
      </w:r>
    </w:p>
    <w:p>
      <w:r>
        <w:t>This document integrates the following sources. Repository statements were checked against the current public GitHub files available on 1 October 2026; project-stage statements from the PDFs retain their original audit dates.</w:t>
      </w:r>
    </w:p>
    <w:p>
      <w:pPr>
        <w:pStyle w:val="ListBullet"/>
      </w:pPr>
      <w:r>
        <w:rPr>
          <w:b/>
        </w:rPr>
        <w:t xml:space="preserve">Public GitHub repository: </w:t>
      </w:r>
      <w:hyperlink r:id="rId11">
        <w:r>
          <w:rPr>
            <w:color w:val="0563C1"/>
            <w:u w:val="single"/>
          </w:rPr>
          <w:t>https://github.com/dungnguyen15213/6DOF-Rebel-Cobot-Control</w:t>
        </w:r>
      </w:hyperlink>
    </w:p>
    <w:p>
      <w:pPr>
        <w:pStyle w:val="ListBullet"/>
      </w:pPr>
      <w:r>
        <w:rPr>
          <w:b/>
        </w:rPr>
        <w:t xml:space="preserve">Identification collection guide: </w:t>
      </w:r>
      <w:hyperlink r:id="rId12">
        <w:r>
          <w:rPr>
            <w:color w:val="0563C1"/>
            <w:u w:val="single"/>
          </w:rPr>
          <w:t>https://github.com/dungnguyen15213/6DOF-Rebel-Cobot-Control/blob/main/IDENTIFICATION_DATA_COLLECTION.md</w:t>
        </w:r>
      </w:hyperlink>
    </w:p>
    <w:p>
      <w:pPr>
        <w:pStyle w:val="ListBullet"/>
      </w:pPr>
      <w:r>
        <w:rPr>
          <w:b/>
        </w:rPr>
        <w:t xml:space="preserve">Identification logger: </w:t>
      </w:r>
      <w:hyperlink r:id="rId13">
        <w:r>
          <w:rPr>
            <w:color w:val="0563C1"/>
            <w:u w:val="single"/>
          </w:rPr>
          <w:t>https://raw.githubusercontent.com/dungnguyen15213/6DOF-Rebel-Cobot-Control/main/core/identification_logger.py</w:t>
        </w:r>
      </w:hyperlink>
    </w:p>
    <w:p>
      <w:pPr>
        <w:pStyle w:val="ListBullet"/>
      </w:pPr>
      <w:r>
        <w:rPr>
          <w:b/>
        </w:rPr>
        <w:t xml:space="preserve">GUI and STATUS callback: </w:t>
      </w:r>
      <w:hyperlink r:id="rId14">
        <w:r>
          <w:rPr>
            <w:color w:val="0563C1"/>
            <w:u w:val="single"/>
          </w:rPr>
          <w:t>https://raw.githubusercontent.com/dungnguyen15213/6DOF-Rebel-Cobot-Control/main/gui/main_window.py</w:t>
        </w:r>
      </w:hyperlink>
    </w:p>
    <w:p>
      <w:pPr>
        <w:pStyle w:val="ListBullet"/>
      </w:pPr>
      <w:r>
        <w:rPr>
          <w:b/>
        </w:rPr>
        <w:t xml:space="preserve">CRI controller: </w:t>
      </w:r>
      <w:hyperlink r:id="rId15">
        <w:r>
          <w:rPr>
            <w:color w:val="0563C1"/>
            <w:u w:val="single"/>
          </w:rPr>
          <w:t>https://raw.githubusercontent.com/dungnguyen15213/6DOF-Rebel-Cobot-Control/main/cri_lib/cri_controller.py</w:t>
        </w:r>
      </w:hyperlink>
    </w:p>
    <w:p>
      <w:pPr>
        <w:pStyle w:val="ListBullet"/>
      </w:pPr>
      <w:r>
        <w:rPr>
          <w:b/>
        </w:rPr>
        <w:t xml:space="preserve">CRI parser: </w:t>
      </w:r>
      <w:hyperlink r:id="rId16">
        <w:r>
          <w:rPr>
            <w:color w:val="0563C1"/>
            <w:u w:val="single"/>
          </w:rPr>
          <w:t>https://raw.githubusercontent.com/dungnguyen15213/6DOF-Rebel-Cobot-Control/main/cri_lib/cri_protocol_parser.py</w:t>
        </w:r>
      </w:hyperlink>
    </w:p>
    <w:p>
      <w:pPr>
        <w:pStyle w:val="ListBullet"/>
      </w:pPr>
      <w:r>
        <w:rPr>
          <w:b/>
        </w:rPr>
        <w:t xml:space="preserve">CSV checker: </w:t>
      </w:r>
      <w:hyperlink r:id="rId17">
        <w:r>
          <w:rPr>
            <w:color w:val="0563C1"/>
            <w:u w:val="single"/>
          </w:rPr>
          <w:t>https://raw.githubusercontent.com/dungnguyen15213/6DOF-Rebel-Cobot-Control/main/tools/check_identification_csv.py</w:t>
        </w:r>
      </w:hyperlink>
    </w:p>
    <w:p>
      <w:pPr>
        <w:pStyle w:val="ListBullet"/>
      </w:pPr>
      <w:r>
        <w:rPr>
          <w:b/>
        </w:rPr>
        <w:t xml:space="preserve">User-supplied roadmap, math brief, latency review, and Research.docx: </w:t>
      </w:r>
    </w:p>
    <w:sectPr w:rsidR="00FC693F" w:rsidRPr="0006063C" w:rsidSect="00034616">
      <w:headerReference w:type="default" r:id="rId9"/>
      <w:footerReference w:type="default" r:id="rId10"/>
      <w:pgSz w:w="12240" w:h="15840"/>
      <w:pgMar w:top="936"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6B7280"/>
        <w:sz w:val="17"/>
      </w:rPr>
      <w:t>No-Load Lab Readiness - Context-Aware Digital Twin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23A5A"/>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1F5D85"/>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2A7F8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123A5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val="0"/>
      <w:i/>
      <w:iCs/>
      <w:color w:val="1F5D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259" w:right="259"/>
    </w:pPr>
    <w:rPr>
      <w:rFonts w:ascii="Liberation Mono" w:hAnsi="Liberation Mono"/>
      <w:color w:val="22222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dungnguyen15213/6DOF-Rebel-Cobot-Control" TargetMode="External"/><Relationship Id="rId12" Type="http://schemas.openxmlformats.org/officeDocument/2006/relationships/hyperlink" Target="https://github.com/dungnguyen15213/6DOF-Rebel-Cobot-Control/blob/main/IDENTIFICATION_DATA_COLLECTION.md" TargetMode="External"/><Relationship Id="rId13" Type="http://schemas.openxmlformats.org/officeDocument/2006/relationships/hyperlink" Target="https://raw.githubusercontent.com/dungnguyen15213/6DOF-Rebel-Cobot-Control/main/core/identification_logger.py" TargetMode="External"/><Relationship Id="rId14" Type="http://schemas.openxmlformats.org/officeDocument/2006/relationships/hyperlink" Target="https://raw.githubusercontent.com/dungnguyen15213/6DOF-Rebel-Cobot-Control/main/gui/main_window.py" TargetMode="External"/><Relationship Id="rId15" Type="http://schemas.openxmlformats.org/officeDocument/2006/relationships/hyperlink" Target="https://raw.githubusercontent.com/dungnguyen15213/6DOF-Rebel-Cobot-Control/main/cri_lib/cri_controller.py" TargetMode="External"/><Relationship Id="rId16" Type="http://schemas.openxmlformats.org/officeDocument/2006/relationships/hyperlink" Target="https://raw.githubusercontent.com/dungnguyen15213/6DOF-Rebel-Cobot-Control/main/cri_lib/cri_protocol_parser.py" TargetMode="External"/><Relationship Id="rId17" Type="http://schemas.openxmlformats.org/officeDocument/2006/relationships/hyperlink" Target="https://raw.githubusercontent.com/dungnguyen15213/6DOF-Rebel-Cobot-Control/main/tools/check_identification_csv.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