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00"/>
        <w:jc w:val="center"/>
      </w:pPr>
      <w:r>
        <w:rPr>
          <w:rFonts w:ascii="Arial" w:hAnsi="Arial"/>
          <w:b/>
          <w:color w:val="123A5A"/>
          <w:sz w:val="52"/>
        </w:rPr>
        <w:t>Context-Aware Digital Twin for Polymer-Joint Cobots</w:t>
      </w:r>
    </w:p>
    <w:p>
      <w:pPr>
        <w:jc w:val="center"/>
      </w:pPr>
      <w:r>
        <w:rPr>
          <w:rFonts w:ascii="Arial" w:hAnsi="Arial"/>
          <w:color w:val="1F5D85"/>
          <w:sz w:val="28"/>
        </w:rPr>
        <w:t>Research Summary, Scientific Logic, and Manuscript Layout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4CE"/>
          <w:left w:val="single" w:sz="4" w:space="0" w:color="B8C4CE"/>
          <w:bottom w:val="single" w:sz="4" w:space="0" w:color="B8C4CE"/>
          <w:right w:val="single" w:sz="4" w:space="0" w:color="B8C4CE"/>
          <w:insideH w:val="single" w:sz="4" w:space="0" w:color="B8C4CE"/>
          <w:insideV w:val="single" w:sz="4" w:space="0" w:color="B8C4CE"/>
        </w:tblBorders>
      </w:tblPr>
      <w:tblGrid>
        <w:gridCol w:w="2448"/>
        <w:gridCol w:w="6912"/>
      </w:tblGrid>
      <w:tr>
        <w:tc>
          <w:tcPr>
            <w:tcW w:type="dxa" w:w="5083"/>
            <w:shd w:fill="EAF3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123A5A"/>
                <w:sz w:val="20"/>
              </w:rPr>
              <w:t>Robot</w:t>
            </w:r>
          </w:p>
        </w:tc>
        <w:tc>
          <w:tcPr>
            <w:tcW w:type="dxa" w:w="5083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6-DOF igus ReBeL using CRI/API-level telemetry</w:t>
            </w:r>
          </w:p>
        </w:tc>
      </w:tr>
      <w:tr>
        <w:tc>
          <w:tcPr>
            <w:tcW w:type="dxa" w:w="5083"/>
            <w:shd w:fill="EAF3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123A5A"/>
                <w:sz w:val="20"/>
              </w:rPr>
              <w:t>Repository</w:t>
            </w:r>
          </w:p>
        </w:tc>
        <w:tc>
          <w:tcPr>
            <w:tcW w:type="dxa" w:w="5083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github.com/dungnguyen15213/6DOF-Rebel-Cobot-Control</w:t>
            </w:r>
          </w:p>
        </w:tc>
      </w:tr>
      <w:tr>
        <w:tc>
          <w:tcPr>
            <w:tcW w:type="dxa" w:w="5083"/>
            <w:shd w:fill="EAF3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123A5A"/>
                <w:sz w:val="20"/>
              </w:rPr>
              <w:t>Integrated review</w:t>
            </w:r>
          </w:p>
        </w:tc>
        <w:tc>
          <w:tcPr>
            <w:tcW w:type="dxa" w:w="5083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1 October 2026</w:t>
            </w:r>
          </w:p>
        </w:tc>
      </w:tr>
    </w:tbl>
    <w:p>
      <w:pPr>
        <w:spacing w:before="400"/>
        <w:jc w:val="center"/>
      </w:pPr>
      <w:r>
        <w:rPr>
          <w:i/>
          <w:color w:val="667085"/>
          <w:sz w:val="19"/>
        </w:rPr>
        <w:t>Prepared from the current public repository and the supplied research roadmap, mathematical brief, latency review, and manuscript concept.</w:t>
      </w:r>
    </w:p>
    <w:p>
      <w:r>
        <w:br w:type="page"/>
      </w:r>
    </w:p>
    <w:p>
      <w:pPr>
        <w:pStyle w:val="Heading1"/>
      </w:pPr>
      <w:r>
        <w:t>Executive summary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" w:space="0" w:color="EAF3F8"/>
          <w:left w:val="single" w:sz="1" w:space="0" w:color="EAF3F8"/>
          <w:bottom w:val="single" w:sz="1" w:space="0" w:color="EAF3F8"/>
          <w:right w:val="single" w:sz="1" w:space="0" w:color="EAF3F8"/>
          <w:insideH w:val="single" w:sz="1" w:space="0" w:color="EAF3F8"/>
          <w:insideV w:val="single" w:sz="1" w:space="0" w:color="EAF3F8"/>
        </w:tblBorders>
      </w:tblPr>
      <w:tblGrid>
        <w:gridCol w:w="2088"/>
        <w:gridCol w:w="7776"/>
      </w:tblGrid>
      <w:tr>
        <w:tc>
          <w:tcPr>
            <w:tcW w:type="dxa" w:w="5083"/>
            <w:shd w:fill="EAF3F8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123A5A"/>
                <w:sz w:val="20"/>
              </w:rPr>
              <w:t>Research goal</w:t>
            </w:r>
          </w:p>
        </w:tc>
        <w:tc>
          <w:tcPr>
            <w:tcW w:type="dxa" w:w="5083"/>
            <w:shd w:fill="EAF3F8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Develop a non-invasive supervisory Digital Twin that uses standard CRI/API telemetry to learn normal joint-current behavior, track slow operating drift, and distinguish transient contact from sustained load changes without adding an external force/torque sensor.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" w:space="0" w:color="EAF6F5"/>
          <w:left w:val="single" w:sz="1" w:space="0" w:color="EAF6F5"/>
          <w:bottom w:val="single" w:sz="1" w:space="0" w:color="EAF6F5"/>
          <w:right w:val="single" w:sz="1" w:space="0" w:color="EAF6F5"/>
          <w:insideH w:val="single" w:sz="1" w:space="0" w:color="EAF6F5"/>
          <w:insideV w:val="single" w:sz="1" w:space="0" w:color="EAF6F5"/>
        </w:tblBorders>
      </w:tblPr>
      <w:tblGrid>
        <w:gridCol w:w="2088"/>
        <w:gridCol w:w="7776"/>
      </w:tblGrid>
      <w:tr>
        <w:tc>
          <w:tcPr>
            <w:tcW w:type="dxa" w:w="5083"/>
            <w:shd w:fill="EAF6F5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2A7F8E"/>
                <w:sz w:val="20"/>
              </w:rPr>
              <w:t>Current gate</w:t>
            </w:r>
          </w:p>
        </w:tc>
        <w:tc>
          <w:tcPr>
            <w:tcW w:type="dxa" w:w="5083"/>
            <w:shd w:fill="EAF6F5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The immediate scientific milestone is still normal-current model identification: collect clean no-payload/no-contact data, fit Model A, compare Model B on identical held-out runs, and freeze the regressor before implementing the final VFF-RLS and context state machine.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" w:space="0" w:color="EAF4ED"/>
          <w:left w:val="single" w:sz="1" w:space="0" w:color="EAF4ED"/>
          <w:bottom w:val="single" w:sz="1" w:space="0" w:color="EAF4ED"/>
          <w:right w:val="single" w:sz="1" w:space="0" w:color="EAF4ED"/>
          <w:insideH w:val="single" w:sz="1" w:space="0" w:color="EAF4ED"/>
          <w:insideV w:val="single" w:sz="1" w:space="0" w:color="EAF4ED"/>
        </w:tblBorders>
      </w:tblPr>
      <w:tblGrid>
        <w:gridCol w:w="2088"/>
        <w:gridCol w:w="7776"/>
      </w:tblGrid>
      <w:tr>
        <w:tc>
          <w:tcPr>
            <w:tcW w:type="dxa" w:w="5083"/>
            <w:shd w:fill="EAF4ED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2F7D4A"/>
                <w:sz w:val="20"/>
              </w:rPr>
              <w:t>Repository update</w:t>
            </w:r>
          </w:p>
        </w:tc>
        <w:tc>
          <w:tcPr>
            <w:tcW w:type="dxa" w:w="5083"/>
            <w:shd w:fill="EAF4ED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The public repository is now ahead of the 25 Sep roadmap audit in one important area: it contains a dedicated identification logger, GUI run metadata controls, per-run CSV output, and a quality-check script. This means Step 1 is substantially implemented in code, although successful robot-side data quality still needs to be demonstrated in the lab.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" w:space="0" w:color="FFF5DC"/>
          <w:left w:val="single" w:sz="1" w:space="0" w:color="FFF5DC"/>
          <w:bottom w:val="single" w:sz="1" w:space="0" w:color="FFF5DC"/>
          <w:right w:val="single" w:sz="1" w:space="0" w:color="FFF5DC"/>
          <w:insideH w:val="single" w:sz="1" w:space="0" w:color="FFF5DC"/>
          <w:insideV w:val="single" w:sz="1" w:space="0" w:color="FFF5DC"/>
        </w:tblBorders>
      </w:tblPr>
      <w:tblGrid>
        <w:gridCol w:w="2088"/>
        <w:gridCol w:w="7776"/>
      </w:tblGrid>
      <w:tr>
        <w:tc>
          <w:tcPr>
            <w:tcW w:type="dxa" w:w="5083"/>
            <w:shd w:fill="FFF5DC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B7791F"/>
                <w:sz w:val="20"/>
              </w:rPr>
              <w:t>Claim boundary</w:t>
            </w:r>
          </w:p>
        </w:tc>
        <w:tc>
          <w:tcPr>
            <w:tcW w:type="dxa" w:w="5083"/>
            <w:shd w:fill="FFF5DC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The Digital Twin should be framed as an augmenting supervisory and diagnostic layer. It must not be presented as a replacement for the certified E-stop/safety controller or as equivalent to a calibrated external force/torque sensor.</w:t>
            </w:r>
          </w:p>
        </w:tc>
      </w:tr>
    </w:tbl>
    <w:p>
      <w:pPr>
        <w:spacing w:after="20"/>
      </w:pPr>
    </w:p>
    <w:p>
      <w:pPr>
        <w:pStyle w:val="Heading1"/>
      </w:pPr>
      <w:r>
        <w:t>1. Research problem and central question</w:t>
      </w:r>
    </w:p>
    <w:p>
      <w:r>
        <w:t>Low-cost polymer-joint cobots are attractive for lightweight automation, but motor-current signatures are not stationary. Temperature-dependent friction, viscoelastic behavior, direction-dependent friction, payload changes, and external contact can all alter current. A fixed threshold therefore risks confusing normal drift with a real interaction event.</w:t>
      </w:r>
    </w:p>
    <w:p>
      <w:r>
        <w:rPr>
          <w:b/>
        </w:rPr>
        <w:t xml:space="preserve">Central research question. </w:t>
      </w:r>
      <w:r>
        <w:t>Can a context-aware Digital Twin, using only CRI/API-level kinematics and motor-current telemetry, maintain an adaptive baseline of normal operation and separate slow drift, transient collision/contact, and payload/grasp-related changes with experimentally defensible accuracy?</w:t>
      </w:r>
    </w:p>
    <w:p>
      <w:pPr>
        <w:pStyle w:val="Heading2"/>
      </w:pPr>
      <w:r>
        <w:t>Working scientific hypotheses</w:t>
      </w:r>
    </w:p>
    <w:p>
      <w:pPr>
        <w:pStyle w:val="ListBullet"/>
        <w:spacing w:after="60"/>
      </w:pPr>
      <w:r>
        <w:rPr>
          <w:b/>
        </w:rPr>
        <w:t xml:space="preserve">H1 - Normal-current model: </w:t>
      </w:r>
      <w:r>
        <w:t>A compact physically motivated regressor using joint position, velocity/friction terms, and selected gravity terms can predict normal motor current well enough to create a useful residual.</w:t>
      </w:r>
    </w:p>
    <w:p>
      <w:pPr>
        <w:pStyle w:val="ListBullet"/>
        <w:spacing w:after="60"/>
      </w:pPr>
      <w:r>
        <w:rPr>
          <w:b/>
        </w:rPr>
        <w:t xml:space="preserve">H2 - Acceleration decision: </w:t>
      </w:r>
      <w:r>
        <w:t>Adding reconstructed acceleration should be kept only if it improves held-out-run prediction without creating unstable or noise-sensitive parameters.</w:t>
      </w:r>
    </w:p>
    <w:p>
      <w:pPr>
        <w:pStyle w:val="ListBullet"/>
        <w:spacing w:after="60"/>
      </w:pPr>
      <w:r>
        <w:rPr>
          <w:b/>
        </w:rPr>
        <w:t xml:space="preserve">H3 - Adaptive baseline: </w:t>
      </w:r>
      <w:r>
        <w:t>A residual-dependent VFF-RLS can track gradual thermal/model drift more effectively than a static or fixed-forgetting baseline, provided abrupt interaction events are prevented from being learned as normal.</w:t>
      </w:r>
    </w:p>
    <w:p>
      <w:pPr>
        <w:pStyle w:val="ListBullet"/>
        <w:spacing w:after="60"/>
      </w:pPr>
      <w:r>
        <w:rPr>
          <w:b/>
        </w:rPr>
        <w:t xml:space="preserve">H4 - Context disambiguation: </w:t>
      </w:r>
      <w:r>
        <w:t>Stationary and grasp context can separate payload-related gravity shifts from soft contact or collision events, enabling calibrated sensorless payload inference.</w:t>
      </w:r>
    </w:p>
    <w:p>
      <w:pPr>
        <w:pStyle w:val="Heading1"/>
      </w:pPr>
      <w:r>
        <w:t>2. End-to-end research architecture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8D0D8"/>
          <w:left w:val="single" w:sz="4" w:space="0" w:color="C8D0D8"/>
          <w:bottom w:val="single" w:sz="4" w:space="0" w:color="C8D0D8"/>
          <w:right w:val="single" w:sz="4" w:space="0" w:color="C8D0D8"/>
          <w:insideH w:val="single" w:sz="4" w:space="0" w:color="C8D0D8"/>
          <w:insideV w:val="single" w:sz="4" w:space="0" w:color="C8D0D8"/>
        </w:tblBorders>
      </w:tblPr>
      <w:tblGrid>
        <w:gridCol w:w="1800"/>
        <w:gridCol w:w="6120"/>
        <w:gridCol w:w="1944"/>
      </w:tblGrid>
      <w:tr>
        <w:trPr>
          <w:tblHeader w:val="true"/>
        </w:trPr>
        <w:tc>
          <w:tcPr>
            <w:tcW w:type="dxa" w:w="3389"/>
            <w:shd w:fill="123A5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Layer</w:t>
            </w:r>
          </w:p>
        </w:tc>
        <w:tc>
          <w:tcPr>
            <w:tcW w:type="dxa" w:w="3389"/>
            <w:shd w:fill="123A5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Function</w:t>
            </w:r>
          </w:p>
        </w:tc>
        <w:tc>
          <w:tcPr>
            <w:tcW w:type="dxa" w:w="3389"/>
            <w:shd w:fill="123A5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Current status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Physical robot</w:t>
            </w:r>
          </w:p>
        </w:tc>
        <w:tc>
          <w:tcPr>
            <w:tcW w:type="dxa" w:w="612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6-DOF igus ReBeL executes trajectories; CRI exposes STATUS position and motor-current telemetry.</w:t>
            </w:r>
          </w:p>
        </w:tc>
        <w:tc>
          <w:tcPr>
            <w:tcW w:type="dxa" w:w="194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Implemented platform</w:t>
            </w:r>
          </w:p>
        </w:tc>
      </w:tr>
      <w:tr>
        <w:trPr>
          <w:cantSplit/>
        </w:trPr>
        <w:tc>
          <w:tcPr>
            <w:tcW w:type="dxa" w:w="1800"/>
            <w:shd w:fill="F8FAFC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Communication / timing</w:t>
            </w:r>
          </w:p>
        </w:tc>
        <w:tc>
          <w:tcPr>
            <w:tcW w:type="dxa" w:w="6120"/>
            <w:shd w:fill="F8FAFC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CRI ACK RTT and telemetry-observed motion response are measured as separate datasets.</w:t>
            </w:r>
          </w:p>
        </w:tc>
        <w:tc>
          <w:tcPr>
            <w:tcW w:type="dxa" w:w="1944"/>
            <w:shd w:fill="F8FAFC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Method sufficiently mature to move on; final protocol details remain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Identification logger</w:t>
            </w:r>
          </w:p>
        </w:tc>
        <w:tc>
          <w:tcPr>
            <w:tcW w:type="dxa" w:w="612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Per-run CSV with timestamp, q1..q6, qdot1..qdot6, current1..6, candidate qddot1..qddot6, and run metadata.</w:t>
            </w:r>
          </w:p>
        </w:tc>
        <w:tc>
          <w:tcPr>
            <w:tcW w:type="dxa" w:w="194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Implemented in current repo; lab quality validation pending</w:t>
            </w:r>
          </w:p>
        </w:tc>
      </w:tr>
      <w:tr>
        <w:trPr>
          <w:cantSplit/>
        </w:trPr>
        <w:tc>
          <w:tcPr>
            <w:tcW w:type="dxa" w:w="1800"/>
            <w:shd w:fill="F8FAFC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Offline preprocessing</w:t>
            </w:r>
          </w:p>
        </w:tc>
        <w:tc>
          <w:tcPr>
            <w:tcW w:type="dxa" w:w="6120"/>
            <w:shd w:fill="F8FAFC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Use measured dt, retain raw columns, convert to radians/A, filter velocity, reconstruct candidate acceleration.</w:t>
            </w:r>
          </w:p>
        </w:tc>
        <w:tc>
          <w:tcPr>
            <w:tcW w:type="dxa" w:w="1944"/>
            <w:shd w:fill="F8FAFC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Next after data collection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Normal-current model</w:t>
            </w:r>
          </w:p>
        </w:tc>
        <w:tc>
          <w:tcPr>
            <w:tcW w:type="dxa" w:w="612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Fit per-joint static regressor; compare Model A vs Model B on held-out runs.</w:t>
            </w:r>
          </w:p>
        </w:tc>
        <w:tc>
          <w:tcPr>
            <w:tcW w:type="dxa" w:w="194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Immediate scientific gate</w:t>
            </w:r>
          </w:p>
        </w:tc>
      </w:tr>
      <w:tr>
        <w:trPr>
          <w:cantSplit/>
        </w:trPr>
        <w:tc>
          <w:tcPr>
            <w:tcW w:type="dxa" w:w="1800"/>
            <w:shd w:fill="F8FAFC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Adaptive estimator</w:t>
            </w:r>
          </w:p>
        </w:tc>
        <w:tc>
          <w:tcPr>
            <w:tcW w:type="dxa" w:w="6120"/>
            <w:shd w:fill="F8FAFC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Context-gated VFF-RLS tracks slow drift while freezing adaptation during interaction candidates.</w:t>
            </w:r>
          </w:p>
        </w:tc>
        <w:tc>
          <w:tcPr>
            <w:tcW w:type="dxa" w:w="1944"/>
            <w:shd w:fill="F8FAFC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Concept defined; not yet final in code/calibrated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Detection / classification</w:t>
            </w:r>
          </w:p>
        </w:tc>
        <w:tc>
          <w:tcPr>
            <w:tcW w:type="dxa" w:w="612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Residual normalization, CUSUM/persistence, stationary/grasp context, collision/soft-contact/payload states.</w:t>
            </w:r>
          </w:p>
        </w:tc>
        <w:tc>
          <w:tcPr>
            <w:tcW w:type="dxa" w:w="194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Baseline CUSUM exists; final state machine not implemented/calibrated</w:t>
            </w:r>
          </w:p>
        </w:tc>
      </w:tr>
      <w:tr>
        <w:trPr>
          <w:cantSplit/>
        </w:trPr>
        <w:tc>
          <w:tcPr>
            <w:tcW w:type="dxa" w:w="1800"/>
            <w:shd w:fill="F8FAFC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Validation</w:t>
            </w:r>
          </w:p>
        </w:tc>
        <w:tc>
          <w:tcPr>
            <w:tcW w:type="dxa" w:w="6120"/>
            <w:shd w:fill="F8FAFC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Thermal, collision, soft-contact, and payload experiments with frozen thresholds and held-out final tests.</w:t>
            </w:r>
          </w:p>
        </w:tc>
        <w:tc>
          <w:tcPr>
            <w:tcW w:type="dxa" w:w="1944"/>
            <w:shd w:fill="F8FAFC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Not yet complete</w:t>
            </w:r>
          </w:p>
        </w:tc>
      </w:tr>
    </w:tbl>
    <w:p>
      <w:pPr>
        <w:spacing w:after="20"/>
      </w:pPr>
    </w:p>
    <w:p>
      <w:pPr>
        <w:pStyle w:val="Heading1"/>
      </w:pPr>
      <w:r>
        <w:t>3. Mathematical backbone</w:t>
      </w:r>
    </w:p>
    <w:p>
      <w:r>
        <w:t>The Digital Twin is built around one residual: measured current minus predicted normal current. The research sequence deliberately freezes the static regressor first, then adds adaptation and classification.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2" w:space="0" w:color="E1E6EB"/>
          <w:left w:val="single" w:sz="2" w:space="0" w:color="E1E6EB"/>
          <w:bottom w:val="single" w:sz="2" w:space="0" w:color="E1E6EB"/>
          <w:right w:val="single" w:sz="2" w:space="0" w:color="E1E6EB"/>
          <w:insideH w:val="single" w:sz="2" w:space="0" w:color="E1E6EB"/>
          <w:insideV w:val="single" w:sz="2" w:space="0" w:color="E1E6EB"/>
        </w:tblBorders>
      </w:tblPr>
      <w:tblGrid>
        <w:gridCol w:w="10166"/>
      </w:tblGrid>
      <w:tr>
        <w:tc>
          <w:tcPr>
            <w:tcW w:type="dxa" w:w="10166"/>
            <w:shd w:fill="F3F5F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Liberation Mono" w:hAnsi="Liberation Mono"/>
                <w:b/>
                <w:sz w:val="20"/>
              </w:rPr>
              <w:t>I_i(k) = phi_i(k)^T theta_i + e_i(k)</w:t>
            </w:r>
          </w:p>
        </w:tc>
      </w:tr>
    </w:tbl>
    <w:p>
      <w:pPr>
        <w:spacing w:after="20"/>
      </w:pPr>
    </w:p>
    <w:p>
      <w:pPr>
        <w:pStyle w:val="Heading2"/>
      </w:pPr>
      <w:r>
        <w:t>3.1 Model A - baseline without acceleration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2" w:space="0" w:color="E1E6EB"/>
          <w:left w:val="single" w:sz="2" w:space="0" w:color="E1E6EB"/>
          <w:bottom w:val="single" w:sz="2" w:space="0" w:color="E1E6EB"/>
          <w:right w:val="single" w:sz="2" w:space="0" w:color="E1E6EB"/>
          <w:insideH w:val="single" w:sz="2" w:space="0" w:color="E1E6EB"/>
          <w:insideV w:val="single" w:sz="2" w:space="0" w:color="E1E6EB"/>
        </w:tblBorders>
      </w:tblPr>
      <w:tblGrid>
        <w:gridCol w:w="10166"/>
      </w:tblGrid>
      <w:tr>
        <w:tc>
          <w:tcPr>
            <w:tcW w:type="dxa" w:w="10166"/>
            <w:shd w:fill="F3F5F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Liberation Mono" w:hAnsi="Liberation Mono"/>
                <w:b/>
                <w:sz w:val="20"/>
              </w:rPr>
              <w:t>phi_A = [1, qdot_i, tanh(qdot_i / v_s), sin(q_i), cos(q_i)]</w:t>
            </w:r>
          </w:p>
        </w:tc>
      </w:tr>
    </w:tbl>
    <w:p>
      <w:pPr>
        <w:spacing w:after="20"/>
      </w:pPr>
    </w:p>
    <w:p>
      <w:r>
        <w:t>Model A represents offset, viscous friction, smooth Coulomb/Stribeck-like direction dependence, and a simple single-axis gravity component. It is intentionally compact and should be fitted first.</w:t>
      </w:r>
    </w:p>
    <w:p>
      <w:pPr>
        <w:pStyle w:val="Heading2"/>
      </w:pPr>
      <w:r>
        <w:t>3.2 Model B - acceleration hypothesis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2" w:space="0" w:color="E1E6EB"/>
          <w:left w:val="single" w:sz="2" w:space="0" w:color="E1E6EB"/>
          <w:bottom w:val="single" w:sz="2" w:space="0" w:color="E1E6EB"/>
          <w:right w:val="single" w:sz="2" w:space="0" w:color="E1E6EB"/>
          <w:insideH w:val="single" w:sz="2" w:space="0" w:color="E1E6EB"/>
          <w:insideV w:val="single" w:sz="2" w:space="0" w:color="E1E6EB"/>
        </w:tblBorders>
      </w:tblPr>
      <w:tblGrid>
        <w:gridCol w:w="10166"/>
      </w:tblGrid>
      <w:tr>
        <w:tc>
          <w:tcPr>
            <w:tcW w:type="dxa" w:w="10166"/>
            <w:shd w:fill="F3F5F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Liberation Mono" w:hAnsi="Liberation Mono"/>
                <w:b/>
                <w:sz w:val="20"/>
              </w:rPr>
              <w:t>phi_B = [1, qddot_i, qdot_i, tanh(qdot_i / v_s), sin(q_i), cos(q_i)]</w:t>
            </w:r>
          </w:p>
        </w:tc>
      </w:tr>
    </w:tbl>
    <w:p>
      <w:pPr>
        <w:spacing w:after="20"/>
      </w:pPr>
    </w:p>
    <w:p>
      <w:r>
        <w:t>Acceleration is not automatically accepted. Because numerical differentiation amplifies noise and the telemetry sampling interval is non-uniform, qddot must be reconstructed using measured dt and a documented velocity filter. Model B is retained only if held-out evidence justifies it.</w:t>
      </w:r>
    </w:p>
    <w:p>
      <w:pPr>
        <w:pStyle w:val="Heading2"/>
      </w:pPr>
      <w:r>
        <w:t>3.3 Residual and adaptive baseline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2" w:space="0" w:color="E1E6EB"/>
          <w:left w:val="single" w:sz="2" w:space="0" w:color="E1E6EB"/>
          <w:bottom w:val="single" w:sz="2" w:space="0" w:color="E1E6EB"/>
          <w:right w:val="single" w:sz="2" w:space="0" w:color="E1E6EB"/>
          <w:insideH w:val="single" w:sz="2" w:space="0" w:color="E1E6EB"/>
          <w:insideV w:val="single" w:sz="2" w:space="0" w:color="E1E6EB"/>
        </w:tblBorders>
      </w:tblPr>
      <w:tblGrid>
        <w:gridCol w:w="10166"/>
      </w:tblGrid>
      <w:tr>
        <w:tc>
          <w:tcPr>
            <w:tcW w:type="dxa" w:w="10166"/>
            <w:shd w:fill="F3F5F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Liberation Mono" w:hAnsi="Liberation Mono"/>
                <w:b/>
                <w:sz w:val="20"/>
              </w:rPr>
              <w:t>r_k = I_k - I_hat_k</w:t>
            </w:r>
          </w:p>
        </w:tc>
      </w:tr>
    </w:tbl>
    <w:p>
      <w:pPr>
        <w:spacing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2" w:space="0" w:color="E1E6EB"/>
          <w:left w:val="single" w:sz="2" w:space="0" w:color="E1E6EB"/>
          <w:bottom w:val="single" w:sz="2" w:space="0" w:color="E1E6EB"/>
          <w:right w:val="single" w:sz="2" w:space="0" w:color="E1E6EB"/>
          <w:insideH w:val="single" w:sz="2" w:space="0" w:color="E1E6EB"/>
          <w:insideV w:val="single" w:sz="2" w:space="0" w:color="E1E6EB"/>
        </w:tblBorders>
      </w:tblPr>
      <w:tblGrid>
        <w:gridCol w:w="10166"/>
      </w:tblGrid>
      <w:tr>
        <w:tc>
          <w:tcPr>
            <w:tcW w:type="dxa" w:w="10166"/>
            <w:shd w:fill="F3F5F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Liberation Mono" w:hAnsi="Liberation Mono"/>
                <w:b/>
                <w:sz w:val="20"/>
              </w:rPr>
              <w:t>theta_hat_k = theta_hat_(k-1) + a_k K_k e^-_k</w:t>
            </w:r>
          </w:p>
        </w:tc>
      </w:tr>
    </w:tbl>
    <w:p>
      <w:pPr>
        <w:spacing w:after="20"/>
      </w:pPr>
    </w:p>
    <w:p>
      <w:r>
        <w:t>The adaptation gate a_k is the key context-aware safeguard: slow drift may be learned, while collision/contact candidates and unresolved payload events freeze parameter updates. The planned VFF law changes lambda according to robust residual-energy evidence rather than using the current fixed lambda = 0.98 baseline forever.</w:t>
      </w:r>
    </w:p>
    <w:p>
      <w:pPr>
        <w:pStyle w:val="Heading2"/>
      </w:pPr>
      <w:r>
        <w:t>3.4 CUSUM and context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2" w:space="0" w:color="E1E6EB"/>
          <w:left w:val="single" w:sz="2" w:space="0" w:color="E1E6EB"/>
          <w:bottom w:val="single" w:sz="2" w:space="0" w:color="E1E6EB"/>
          <w:right w:val="single" w:sz="2" w:space="0" w:color="E1E6EB"/>
          <w:insideH w:val="single" w:sz="2" w:space="0" w:color="E1E6EB"/>
          <w:insideV w:val="single" w:sz="2" w:space="0" w:color="E1E6EB"/>
        </w:tblBorders>
      </w:tblPr>
      <w:tblGrid>
        <w:gridCol w:w="10166"/>
      </w:tblGrid>
      <w:tr>
        <w:tc>
          <w:tcPr>
            <w:tcW w:type="dxa" w:w="10166"/>
            <w:shd w:fill="F3F5F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Liberation Mono" w:hAnsi="Liberation Mono"/>
                <w:b/>
                <w:sz w:val="20"/>
              </w:rPr>
              <w:t>S+_k = max(0, S+_(k-1) + z_k - kappa);  trigger if S+_k &gt; h (and symmetric negative side)</w:t>
            </w:r>
          </w:p>
        </w:tc>
      </w:tr>
    </w:tbl>
    <w:p>
      <w:pPr>
        <w:spacing w:after="20"/>
      </w:pPr>
    </w:p>
    <w:p>
      <w:r>
        <w:t>CUSUM should be described as an evidence accumulator on normalized residuals, not as a guaranteed instantaneous collision detector. Final collision/soft-contact behavior must be established by calibrated thresholds, persistence rules, and experimental validation.</w:t>
      </w:r>
    </w:p>
    <w:p>
      <w:pPr>
        <w:pStyle w:val="Heading2"/>
      </w:pPr>
      <w:r>
        <w:t>3.5 Payload inference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2" w:space="0" w:color="E1E6EB"/>
          <w:left w:val="single" w:sz="2" w:space="0" w:color="E1E6EB"/>
          <w:bottom w:val="single" w:sz="2" w:space="0" w:color="E1E6EB"/>
          <w:right w:val="single" w:sz="2" w:space="0" w:color="E1E6EB"/>
          <w:insideH w:val="single" w:sz="2" w:space="0" w:color="E1E6EB"/>
          <w:insideV w:val="single" w:sz="2" w:space="0" w:color="E1E6EB"/>
        </w:tblBorders>
      </w:tblPr>
      <w:tblGrid>
        <w:gridCol w:w="10166"/>
      </w:tblGrid>
      <w:tr>
        <w:tc>
          <w:tcPr>
            <w:tcW w:type="dxa" w:w="10166"/>
            <w:shd w:fill="F3F5F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Liberation Mono" w:hAnsi="Liberation Mono"/>
                <w:b/>
                <w:sz w:val="20"/>
              </w:rPr>
              <w:t>At stationary + valid grasp context:  r_bar_i = b_i + s_i m  -&gt;  m_hat = (r_bar_i - b_i) / s_i</w:t>
            </w:r>
          </w:p>
        </w:tc>
      </w:tr>
    </w:tbl>
    <w:p>
      <w:pPr>
        <w:spacing w:after="20"/>
      </w:pPr>
    </w:p>
    <w:p>
      <w:r>
        <w:t>Payload inference is deliberately constrained to approximately stationary conditions after a known grasp event, minimizing velocity and inertial ambiguity. Planned calibration masses are 0, 100, 250, and 500 g.</w:t>
      </w:r>
    </w:p>
    <w:p>
      <w:pPr>
        <w:pStyle w:val="Heading1"/>
      </w:pPr>
      <w:r>
        <w:t>4. Current project status - integrated repo and roadmap view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8D0D8"/>
          <w:left w:val="single" w:sz="4" w:space="0" w:color="C8D0D8"/>
          <w:bottom w:val="single" w:sz="4" w:space="0" w:color="C8D0D8"/>
          <w:right w:val="single" w:sz="4" w:space="0" w:color="C8D0D8"/>
          <w:insideH w:val="single" w:sz="4" w:space="0" w:color="C8D0D8"/>
          <w:insideV w:val="single" w:sz="4" w:space="0" w:color="C8D0D8"/>
        </w:tblBorders>
      </w:tblPr>
      <w:tblGrid>
        <w:gridCol w:w="2304"/>
        <w:gridCol w:w="5256"/>
        <w:gridCol w:w="2376"/>
      </w:tblGrid>
      <w:tr>
        <w:trPr>
          <w:tblHeader w:val="true"/>
        </w:trPr>
        <w:tc>
          <w:tcPr>
            <w:tcW w:type="dxa" w:w="3389"/>
            <w:shd w:fill="123A5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Workstream</w:t>
            </w:r>
          </w:p>
        </w:tc>
        <w:tc>
          <w:tcPr>
            <w:tcW w:type="dxa" w:w="3389"/>
            <w:shd w:fill="123A5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Evidence now</w:t>
            </w:r>
          </w:p>
        </w:tc>
        <w:tc>
          <w:tcPr>
            <w:tcW w:type="dxa" w:w="3389"/>
            <w:shd w:fill="123A5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Interpretation</w:t>
            </w:r>
          </w:p>
        </w:tc>
      </w:tr>
      <w:tr>
        <w:trPr>
          <w:cantSplit/>
        </w:trPr>
        <w:tc>
          <w:tcPr>
            <w:tcW w:type="dxa" w:w="230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CRI / STATUS / GUI</w:t>
            </w:r>
          </w:p>
        </w:tc>
        <w:tc>
          <w:tcPr>
            <w:tcW w:type="dxa" w:w="5256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Communication, GUI, path execution, current display, command callbacks and status callbacks are present.</w:t>
            </w:r>
          </w:p>
        </w:tc>
        <w:tc>
          <w:tcPr>
            <w:tcW w:type="dxa" w:w="2376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Strong engineering foundation</w:t>
            </w:r>
          </w:p>
        </w:tc>
      </w:tr>
      <w:tr>
        <w:trPr>
          <w:cantSplit/>
        </w:trPr>
        <w:tc>
          <w:tcPr>
            <w:tcW w:type="dxa" w:w="2304"/>
            <w:shd w:fill="F8FAFC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Latency methodology</w:t>
            </w:r>
          </w:p>
        </w:tc>
        <w:tc>
          <w:tcPr>
            <w:tcW w:type="dxa" w:w="5256"/>
            <w:shd w:fill="F8FAFC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ACK RTT and telemetry-observed motion response are separated; monotonic timing exists.</w:t>
            </w:r>
          </w:p>
        </w:tc>
        <w:tc>
          <w:tcPr>
            <w:tcW w:type="dxa" w:w="2376"/>
            <w:shd w:fill="F8FAFC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Proceed with research; final onset rule/statistics still need freezing</w:t>
            </w:r>
          </w:p>
        </w:tc>
      </w:tr>
      <w:tr>
        <w:trPr>
          <w:cantSplit/>
        </w:trPr>
        <w:tc>
          <w:tcPr>
            <w:tcW w:type="dxa" w:w="230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Identification-ready logging</w:t>
            </w:r>
          </w:p>
        </w:tc>
        <w:tc>
          <w:tcPr>
            <w:tcW w:type="dxa" w:w="5256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Dedicated IdentificationLogger, GUI metadata panel, per-run files, non-overwrite naming, raw q/current fields, candidate derivatives, checker script.</w:t>
            </w:r>
          </w:p>
        </w:tc>
        <w:tc>
          <w:tcPr>
            <w:tcW w:type="dxa" w:w="2376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Major improvement since 25 Sep; lab dry-run validation is now the next gate</w:t>
            </w:r>
          </w:p>
        </w:tc>
      </w:tr>
      <w:tr>
        <w:trPr>
          <w:cantSplit/>
        </w:trPr>
        <w:tc>
          <w:tcPr>
            <w:tcW w:type="dxa" w:w="2304"/>
            <w:shd w:fill="F8FAFC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Static current model</w:t>
            </w:r>
          </w:p>
        </w:tc>
        <w:tc>
          <w:tcPr>
            <w:tcW w:type="dxa" w:w="5256"/>
            <w:shd w:fill="F8FAFC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Roadmap equations defined; current live FF-RLS remains a 3-parameter baseline.</w:t>
            </w:r>
          </w:p>
        </w:tc>
        <w:tc>
          <w:tcPr>
            <w:tcW w:type="dxa" w:w="2376"/>
            <w:shd w:fill="F8FAFC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Offline Model A/B evidence not yet shown</w:t>
            </w:r>
          </w:p>
        </w:tc>
      </w:tr>
      <w:tr>
        <w:trPr>
          <w:cantSplit/>
        </w:trPr>
        <w:tc>
          <w:tcPr>
            <w:tcW w:type="dxa" w:w="230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VFF-RLS</w:t>
            </w:r>
          </w:p>
        </w:tc>
        <w:tc>
          <w:tcPr>
            <w:tcW w:type="dxa" w:w="5256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Concept and equations specified in project documents.</w:t>
            </w:r>
          </w:p>
        </w:tc>
        <w:tc>
          <w:tcPr>
            <w:tcW w:type="dxa" w:w="2376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Not yet final/validated in current repo</w:t>
            </w:r>
          </w:p>
        </w:tc>
      </w:tr>
      <w:tr>
        <w:trPr>
          <w:cantSplit/>
        </w:trPr>
        <w:tc>
          <w:tcPr>
            <w:tcW w:type="dxa" w:w="2304"/>
            <w:shd w:fill="F8FAFC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Context state machine</w:t>
            </w:r>
          </w:p>
        </w:tc>
        <w:tc>
          <w:tcPr>
            <w:tcW w:type="dxa" w:w="5256"/>
            <w:shd w:fill="F8FAFC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State concept and stationary+grasp rule defined.</w:t>
            </w:r>
          </w:p>
        </w:tc>
        <w:tc>
          <w:tcPr>
            <w:tcW w:type="dxa" w:w="2376"/>
            <w:shd w:fill="F8FAFC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Not yet implemented/calibrated</w:t>
            </w:r>
          </w:p>
        </w:tc>
      </w:tr>
      <w:tr>
        <w:trPr>
          <w:cantSplit/>
        </w:trPr>
        <w:tc>
          <w:tcPr>
            <w:tcW w:type="dxa" w:w="230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Thermal/collision/payload validation</w:t>
            </w:r>
          </w:p>
        </w:tc>
        <w:tc>
          <w:tcPr>
            <w:tcW w:type="dxa" w:w="5256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Protocols are planned.</w:t>
            </w:r>
          </w:p>
        </w:tc>
        <w:tc>
          <w:tcPr>
            <w:tcW w:type="dxa" w:w="2376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Experimental results still missing</w:t>
            </w:r>
          </w:p>
        </w:tc>
      </w:tr>
    </w:tbl>
    <w:p>
      <w:pPr>
        <w:spacing w:after="20"/>
      </w:pPr>
    </w:p>
    <w:p>
      <w:r>
        <w:rPr>
          <w:b/>
        </w:rPr>
        <w:t xml:space="preserve">Important status note. </w:t>
      </w:r>
      <w:r>
        <w:t>The roadmap's 44% overall completion figure was explicitly a milestone-weighted estimate dated 25 Sep 2026. Because the repository has since added the identification data-collection workflow, that percentage should not be reused as a current score unless the progress matrix is re-scored.</w:t>
      </w:r>
    </w:p>
    <w:p>
      <w:pPr>
        <w:pStyle w:val="Heading1"/>
      </w:pPr>
      <w:r>
        <w:t>5. Recommended Q1/Q2 manuscript structure</w:t>
      </w:r>
    </w:p>
    <w:p>
      <w:r>
        <w:t>The Gemini layout is retained, but the wording is tightened to match the project guardrails and the actual evidence sequence.</w:t>
      </w:r>
    </w:p>
    <w:p>
      <w:pPr>
        <w:pStyle w:val="Heading2"/>
      </w:pPr>
      <w:r>
        <w:t>1. Introduction</w:t>
      </w:r>
    </w:p>
    <w:p>
      <w:pPr>
        <w:pStyle w:val="ListBullet"/>
        <w:spacing w:after="60"/>
      </w:pPr>
      <w:r>
        <w:t>Problem: fixed or static current thresholds are brittle when normal current changes with operating condition.</w:t>
      </w:r>
    </w:p>
    <w:p>
      <w:pPr>
        <w:pStyle w:val="ListBullet"/>
        <w:spacing w:after="60"/>
      </w:pPr>
      <w:r>
        <w:t>Gap: low-cost polymer-joint cobots need context-aware sensorless diagnostics that do not assume a stationary baseline.</w:t>
      </w:r>
    </w:p>
    <w:p>
      <w:pPr>
        <w:pStyle w:val="ListBullet"/>
        <w:spacing w:after="60"/>
      </w:pPr>
      <w:r>
        <w:t>Contribution: an adaptive, context-gated Digital Twin using API-level telemetry for normal-current modeling, anomaly classification, and payload inference.</w:t>
      </w:r>
    </w:p>
    <w:p>
      <w:pPr>
        <w:pStyle w:val="ListBullet"/>
        <w:spacing w:after="60"/>
      </w:pPr>
      <w:r>
        <w:t>Safety framing: supervisory augmentation only; no certified safety or force/torque equivalence claim.</w:t>
      </w:r>
    </w:p>
    <w:p>
      <w:pPr>
        <w:pStyle w:val="Heading2"/>
      </w:pPr>
      <w:r>
        <w:t>2. System Architecture and Latency Validation</w:t>
      </w:r>
    </w:p>
    <w:p>
      <w:pPr>
        <w:pStyle w:val="ListBullet"/>
        <w:spacing w:after="60"/>
      </w:pPr>
      <w:r>
        <w:t>Hardware/software stack: igus ReBeL, CRI controller, PC-based Python/PyQt Digital Twin.</w:t>
      </w:r>
    </w:p>
    <w:p>
      <w:pPr>
        <w:pStyle w:val="ListBullet"/>
        <w:spacing w:after="60"/>
      </w:pPr>
      <w:r>
        <w:t>Method 1: application-layer CRI ACK RTT.</w:t>
      </w:r>
    </w:p>
    <w:p>
      <w:pPr>
        <w:pStyle w:val="ListBullet"/>
        <w:spacing w:after="60"/>
      </w:pPr>
      <w:r>
        <w:t>Method 2: GUI/command-to-motion response observed in returned STATUS telemetry.</w:t>
      </w:r>
    </w:p>
    <w:p>
      <w:pPr>
        <w:pStyle w:val="ListBullet"/>
        <w:spacing w:after="60"/>
      </w:pPr>
      <w:r>
        <w:t>State clearly that RTT/2 is only an estimated one-way delay under approximate symmetry and TX-to-Motion is not pure actuator latency.</w:t>
      </w:r>
    </w:p>
    <w:p>
      <w:pPr>
        <w:pStyle w:val="ListBullet"/>
        <w:spacing w:after="60"/>
      </w:pPr>
      <w:r>
        <w:t>Present latency as sufficiently characterized for supervisory diagnostics; do not present final latency performance until the final protocol is frozen and repeated.</w:t>
      </w:r>
    </w:p>
    <w:p>
      <w:pPr>
        <w:pStyle w:val="Heading2"/>
      </w:pPr>
      <w:r>
        <w:t>3. Dynamic Kinematic Modeling and Adaptive Baselines</w:t>
      </w:r>
    </w:p>
    <w:p>
      <w:pPr>
        <w:pStyle w:val="ListBullet"/>
        <w:spacing w:after="60"/>
      </w:pPr>
      <w:r>
        <w:t>Data and preprocessing: measured dt, units, filtering, run-based train/validation split.</w:t>
      </w:r>
    </w:p>
    <w:p>
      <w:pPr>
        <w:pStyle w:val="ListBullet"/>
        <w:spacing w:after="60"/>
      </w:pPr>
      <w:r>
        <w:t>Model A and Model B comparison, followed by physically justified multi-DOF/cross-axis terms only if supported by geometry/data.</w:t>
      </w:r>
    </w:p>
    <w:p>
      <w:pPr>
        <w:pStyle w:val="ListBullet"/>
        <w:spacing w:after="60"/>
      </w:pPr>
      <w:r>
        <w:t>Static least-squares baseline, fixed-FF RLS baseline, and final context-gated VFF-RLS.</w:t>
      </w:r>
    </w:p>
    <w:p>
      <w:pPr>
        <w:pStyle w:val="ListBullet"/>
        <w:spacing w:after="60"/>
      </w:pPr>
      <w:r>
        <w:t>Define the a-priori residual and robust residual-energy statistic used to control lambda.</w:t>
      </w:r>
    </w:p>
    <w:p>
      <w:pPr>
        <w:pStyle w:val="Heading2"/>
      </w:pPr>
      <w:r>
        <w:t>4. Context-Aware Anomaly Disambiguation</w:t>
      </w:r>
    </w:p>
    <w:p>
      <w:pPr>
        <w:pStyle w:val="ListBullet"/>
        <w:spacing w:after="60"/>
      </w:pPr>
      <w:r>
        <w:t>NORMAL / ADAPTIVE DRIFT: estimator may adapt.</w:t>
      </w:r>
    </w:p>
    <w:p>
      <w:pPr>
        <w:pStyle w:val="ListBullet"/>
        <w:spacing w:after="60"/>
      </w:pPr>
      <w:r>
        <w:t>TRANSIENT COLLISION: residual/CUSUM evidence triggers event classification and freezes adaptation.</w:t>
      </w:r>
    </w:p>
    <w:p>
      <w:pPr>
        <w:pStyle w:val="ListBullet"/>
        <w:spacing w:after="60"/>
      </w:pPr>
      <w:r>
        <w:t>SOFT CONTACT: sustained in-motion departure without valid payload context.</w:t>
      </w:r>
    </w:p>
    <w:p>
      <w:pPr>
        <w:pStyle w:val="ListBullet"/>
        <w:spacing w:after="60"/>
      </w:pPr>
      <w:r>
        <w:t>PAYLOAD / GRASP EVENT: classification only with stationary + valid grasp context; convert calibrated residual shift to mass.</w:t>
      </w:r>
    </w:p>
    <w:p>
      <w:pPr>
        <w:pStyle w:val="ListBullet"/>
        <w:spacing w:after="60"/>
      </w:pPr>
      <w:r>
        <w:t>Specify hysteresis, persistence, release conditions, and event priority after calibration.</w:t>
      </w:r>
    </w:p>
    <w:p>
      <w:pPr>
        <w:pStyle w:val="Heading2"/>
      </w:pPr>
      <w:r>
        <w:t>5. Experimental Validation and Results</w:t>
      </w:r>
    </w:p>
    <w:p>
      <w:pPr>
        <w:pStyle w:val="ListBullet"/>
        <w:spacing w:after="60"/>
      </w:pPr>
      <w:r>
        <w:t>No-load normal-operation identification dataset and held-out Model A/B decision.</w:t>
      </w:r>
    </w:p>
    <w:p>
      <w:pPr>
        <w:pStyle w:val="ListBullet"/>
        <w:spacing w:after="60"/>
      </w:pPr>
      <w:r>
        <w:t>Thermal tracking: controlled cold-to-warm repeated trajectory, approximately 45 min after regressor freeze.</w:t>
      </w:r>
    </w:p>
    <w:p>
      <w:pPr>
        <w:pStyle w:val="ListBullet"/>
        <w:spacing w:after="60"/>
      </w:pPr>
      <w:r>
        <w:t>Collision/contact: cold and warm tests; report ROC/precision/recall/F1/confusion matrices as appropriate.</w:t>
      </w:r>
    </w:p>
    <w:p>
      <w:pPr>
        <w:pStyle w:val="ListBullet"/>
        <w:spacing w:after="60"/>
      </w:pPr>
      <w:r>
        <w:t>Payload: 0/100/250/500 g calibration and held-out evaluation; report RMSE, MAE, bias, standard deviation/uncertainty.</w:t>
      </w:r>
    </w:p>
    <w:p>
      <w:pPr>
        <w:pStyle w:val="ListBullet"/>
        <w:spacing w:after="60"/>
      </w:pPr>
      <w:r>
        <w:t>Compare static baseline vs fixed-FF RLS vs VFF-RLS on the same replay/test data.</w:t>
      </w:r>
    </w:p>
    <w:p>
      <w:pPr>
        <w:pStyle w:val="Heading2"/>
      </w:pPr>
      <w:r>
        <w:t>6. Discussion and Limitations</w:t>
      </w:r>
    </w:p>
    <w:p>
      <w:pPr>
        <w:pStyle w:val="ListBullet"/>
        <w:spacing w:after="60"/>
      </w:pPr>
      <w:r>
        <w:t>What can and cannot be inferred from motor current alone.</w:t>
      </w:r>
    </w:p>
    <w:p>
      <w:pPr>
        <w:pStyle w:val="ListBullet"/>
        <w:spacing w:after="60"/>
      </w:pPr>
      <w:r>
        <w:t>Effect of non-uniform sampling and reconstructed derivatives.</w:t>
      </w:r>
    </w:p>
    <w:p>
      <w:pPr>
        <w:pStyle w:val="ListBullet"/>
        <w:spacing w:after="60"/>
      </w:pPr>
      <w:r>
        <w:t>Dependence on robot configuration, pose, trajectory, temperature proxy, and payload geometry.</w:t>
      </w:r>
    </w:p>
    <w:p>
      <w:pPr>
        <w:pStyle w:val="ListBullet"/>
        <w:spacing w:after="60"/>
      </w:pPr>
      <w:r>
        <w:t>Why the system augments, rather than replaces, certified safety functions and external force/torque sensing when those are required.</w:t>
      </w:r>
    </w:p>
    <w:p>
      <w:pPr>
        <w:pStyle w:val="Heading2"/>
      </w:pPr>
      <w:r>
        <w:t>7. Conclusion</w:t>
      </w:r>
    </w:p>
    <w:p>
      <w:pPr>
        <w:pStyle w:val="ListBullet"/>
        <w:spacing w:after="60"/>
      </w:pPr>
      <w:r>
        <w:t>Summarize the software-only supervisory contribution and its experimentally demonstrated scope.</w:t>
      </w:r>
    </w:p>
    <w:p>
      <w:pPr>
        <w:pStyle w:val="ListBullet"/>
        <w:spacing w:after="60"/>
      </w:pPr>
      <w:r>
        <w:t>Use the phrase: sensorless contact and payload inference without an external force/torque sensor.</w:t>
      </w:r>
    </w:p>
    <w:p>
      <w:pPr>
        <w:pStyle w:val="ListBullet"/>
        <w:spacing w:after="60"/>
      </w:pPr>
      <w:r>
        <w:t>Avoid broader capability claims than the validated test matrix supports.</w:t>
      </w:r>
    </w:p>
    <w:p>
      <w:pPr>
        <w:pStyle w:val="Heading1"/>
      </w:pPr>
      <w:r>
        <w:t>6. Claim-to-evidence map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8D0D8"/>
          <w:left w:val="single" w:sz="4" w:space="0" w:color="C8D0D8"/>
          <w:bottom w:val="single" w:sz="4" w:space="0" w:color="C8D0D8"/>
          <w:right w:val="single" w:sz="4" w:space="0" w:color="C8D0D8"/>
          <w:insideH w:val="single" w:sz="4" w:space="0" w:color="C8D0D8"/>
          <w:insideV w:val="single" w:sz="4" w:space="0" w:color="C8D0D8"/>
        </w:tblBorders>
      </w:tblPr>
      <w:tblGrid>
        <w:gridCol w:w="2592"/>
        <w:gridCol w:w="5472"/>
        <w:gridCol w:w="2232"/>
      </w:tblGrid>
      <w:tr>
        <w:trPr>
          <w:tblHeader w:val="true"/>
        </w:trPr>
        <w:tc>
          <w:tcPr>
            <w:tcW w:type="dxa" w:w="3389"/>
            <w:shd w:fill="123A5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Paper claim</w:t>
            </w:r>
          </w:p>
        </w:tc>
        <w:tc>
          <w:tcPr>
            <w:tcW w:type="dxa" w:w="3389"/>
            <w:shd w:fill="123A5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Required evidence</w:t>
            </w:r>
          </w:p>
        </w:tc>
        <w:tc>
          <w:tcPr>
            <w:tcW w:type="dxa" w:w="3389"/>
            <w:shd w:fill="123A5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Do not claim before</w:t>
            </w:r>
          </w:p>
        </w:tc>
      </w:tr>
      <w:tr>
        <w:trPr>
          <w:cantSplit/>
        </w:trPr>
        <w:tc>
          <w:tcPr>
            <w:tcW w:type="dxa" w:w="259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Normal-current model is predictive</w:t>
            </w:r>
          </w:p>
        </w:tc>
        <w:tc>
          <w:tcPr>
            <w:tcW w:type="dxa" w:w="547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Per-joint held-out RMSE/MAE, residual mean/std, condition number, residual plots on whole held-out runs.</w:t>
            </w:r>
          </w:p>
        </w:tc>
        <w:tc>
          <w:tcPr>
            <w:tcW w:type="dxa" w:w="223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Model A/B comparison is complete</w:t>
            </w:r>
          </w:p>
        </w:tc>
      </w:tr>
      <w:tr>
        <w:trPr>
          <w:cantSplit/>
        </w:trPr>
        <w:tc>
          <w:tcPr>
            <w:tcW w:type="dxa" w:w="2592"/>
            <w:shd w:fill="F8FAFC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Acceleration improves the model</w:t>
            </w:r>
          </w:p>
        </w:tc>
        <w:tc>
          <w:tcPr>
            <w:tcW w:type="dxa" w:w="5472"/>
            <w:shd w:fill="F8FAFC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Same split, same runs, stable parameters, meaningful held-out improvement.</w:t>
            </w:r>
          </w:p>
        </w:tc>
        <w:tc>
          <w:tcPr>
            <w:tcW w:type="dxa" w:w="2232"/>
            <w:shd w:fill="F8FAFC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Model B passes decision gate</w:t>
            </w:r>
          </w:p>
        </w:tc>
      </w:tr>
      <w:tr>
        <w:trPr>
          <w:cantSplit/>
        </w:trPr>
        <w:tc>
          <w:tcPr>
            <w:tcW w:type="dxa" w:w="259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Thermal drift motivates adaptation</w:t>
            </w:r>
          </w:p>
        </w:tc>
        <w:tc>
          <w:tcPr>
            <w:tcW w:type="dxa" w:w="547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Cold-to-warm repeated trajectory showing systematic residual/baseline drift.</w:t>
            </w:r>
          </w:p>
        </w:tc>
        <w:tc>
          <w:tcPr>
            <w:tcW w:type="dxa" w:w="223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Thermal experiment is complete</w:t>
            </w:r>
          </w:p>
        </w:tc>
      </w:tr>
      <w:tr>
        <w:trPr>
          <w:cantSplit/>
        </w:trPr>
        <w:tc>
          <w:tcPr>
            <w:tcW w:type="dxa" w:w="2592"/>
            <w:shd w:fill="F8FAFC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VFF-RLS outperforms static/fixed-FF baseline</w:t>
            </w:r>
          </w:p>
        </w:tc>
        <w:tc>
          <w:tcPr>
            <w:tcW w:type="dxa" w:w="5472"/>
            <w:shd w:fill="F8FAFC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Replay or test-set comparison on identical datasets with frozen design.</w:t>
            </w:r>
          </w:p>
        </w:tc>
        <w:tc>
          <w:tcPr>
            <w:tcW w:type="dxa" w:w="2232"/>
            <w:shd w:fill="F8FAFC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VFF implementation and development calibration are frozen</w:t>
            </w:r>
          </w:p>
        </w:tc>
      </w:tr>
      <w:tr>
        <w:trPr>
          <w:cantSplit/>
        </w:trPr>
        <w:tc>
          <w:tcPr>
            <w:tcW w:type="dxa" w:w="259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Collision/contact classification works</w:t>
            </w:r>
          </w:p>
        </w:tc>
        <w:tc>
          <w:tcPr>
            <w:tcW w:type="dxa" w:w="547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Cold/warm event trials and classification metrics on held-out test data.</w:t>
            </w:r>
          </w:p>
        </w:tc>
        <w:tc>
          <w:tcPr>
            <w:tcW w:type="dxa" w:w="223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Thresholds are frozen and final validation is complete</w:t>
            </w:r>
          </w:p>
        </w:tc>
      </w:tr>
      <w:tr>
        <w:trPr>
          <w:cantSplit/>
        </w:trPr>
        <w:tc>
          <w:tcPr>
            <w:tcW w:type="dxa" w:w="2592"/>
            <w:shd w:fill="F8FAFC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Payload can be inferred sensorlessly</w:t>
            </w:r>
          </w:p>
        </w:tc>
        <w:tc>
          <w:tcPr>
            <w:tcW w:type="dxa" w:w="5472"/>
            <w:shd w:fill="F8FAFC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Calibration at known masses plus held-out mass errors and uncertainty.</w:t>
            </w:r>
          </w:p>
        </w:tc>
        <w:tc>
          <w:tcPr>
            <w:tcW w:type="dxa" w:w="2232"/>
            <w:shd w:fill="F8FAFC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/>
                <w:sz w:val="17"/>
              </w:rPr>
              <w:t>Stationary+grasp calibration and test are complete</w:t>
            </w:r>
          </w:p>
        </w:tc>
      </w:tr>
    </w:tbl>
    <w:p>
      <w:pPr>
        <w:spacing w:after="20"/>
      </w:pPr>
    </w:p>
    <w:p>
      <w:pPr>
        <w:pStyle w:val="Heading1"/>
      </w:pPr>
      <w:r>
        <w:t>7. Research sequence from today to paper</w:t>
      </w:r>
    </w:p>
    <w:p>
      <w:pPr>
        <w:pStyle w:val="ListNumber"/>
        <w:spacing w:after="80"/>
      </w:pPr>
      <w:r>
        <w:rPr>
          <w:b/>
        </w:rPr>
        <w:t xml:space="preserve">Validate the identification logger in the lab. </w:t>
      </w:r>
      <w:r>
        <w:t>Run a short no-load dry test and confirm timestamps, currents, metadata, and file integrity.</w:t>
      </w:r>
    </w:p>
    <w:p>
      <w:pPr>
        <w:pStyle w:val="ListNumber"/>
        <w:spacing w:after="80"/>
      </w:pPr>
      <w:r>
        <w:rPr>
          <w:b/>
        </w:rPr>
        <w:t xml:space="preserve">Collect no-load normal-operation runs. </w:t>
      </w:r>
      <w:r>
        <w:t>Use repeatable single-joint and multi-joint trajectories at multiple safe speeds; hold out entire runs.</w:t>
      </w:r>
    </w:p>
    <w:p>
      <w:pPr>
        <w:pStyle w:val="ListNumber"/>
        <w:spacing w:after="80"/>
      </w:pPr>
      <w:r>
        <w:rPr>
          <w:b/>
        </w:rPr>
        <w:t xml:space="preserve">Preprocess offline. </w:t>
      </w:r>
      <w:r>
        <w:t>Retain raw values, use measured dt, filter velocity, reconstruct candidate acceleration, inspect signal quality.</w:t>
      </w:r>
    </w:p>
    <w:p>
      <w:pPr>
        <w:pStyle w:val="ListNumber"/>
        <w:spacing w:after="80"/>
      </w:pPr>
      <w:r>
        <w:rPr>
          <w:b/>
        </w:rPr>
        <w:t xml:space="preserve">Fit Model A, then Model B. </w:t>
      </w:r>
      <w:r>
        <w:t>Make an evidence-based acceleration decision and freeze the simple baseline regressor.</w:t>
      </w:r>
    </w:p>
    <w:p>
      <w:pPr>
        <w:pStyle w:val="ListNumber"/>
        <w:spacing w:after="80"/>
      </w:pPr>
      <w:r>
        <w:rPr>
          <w:b/>
        </w:rPr>
        <w:t xml:space="preserve">Evaluate cross-axis gravity/coupling only if justified. </w:t>
      </w:r>
      <w:r>
        <w:t>Freeze the final regressor before adaptive-estimator work.</w:t>
      </w:r>
    </w:p>
    <w:p>
      <w:pPr>
        <w:pStyle w:val="ListNumber"/>
        <w:spacing w:after="80"/>
      </w:pPr>
      <w:r>
        <w:rPr>
          <w:b/>
        </w:rPr>
        <w:t xml:space="preserve">Run thermal baseline experiment. </w:t>
      </w:r>
      <w:r>
        <w:t>Quantify drift that motivates adaptation.</w:t>
      </w:r>
    </w:p>
    <w:p>
      <w:pPr>
        <w:pStyle w:val="ListNumber"/>
        <w:spacing w:after="80"/>
      </w:pPr>
      <w:r>
        <w:rPr>
          <w:b/>
        </w:rPr>
        <w:t xml:space="preserve">Implement and replay-test context-gated VFF-RLS. </w:t>
      </w:r>
      <w:r>
        <w:t>Keep static and fixed-FF baselines for direct comparison.</w:t>
      </w:r>
    </w:p>
    <w:p>
      <w:pPr>
        <w:pStyle w:val="ListNumber"/>
        <w:spacing w:after="80"/>
      </w:pPr>
      <w:r>
        <w:rPr>
          <w:b/>
        </w:rPr>
        <w:t xml:space="preserve">Implement and calibrate context state logic. </w:t>
      </w:r>
      <w:r>
        <w:t>Freeze thresholds using development data only.</w:t>
      </w:r>
    </w:p>
    <w:p>
      <w:pPr>
        <w:pStyle w:val="ListNumber"/>
        <w:spacing w:after="80"/>
      </w:pPr>
      <w:r>
        <w:rPr>
          <w:b/>
        </w:rPr>
        <w:t xml:space="preserve">Run final validation. </w:t>
      </w:r>
      <w:r>
        <w:t>Cold/warm collision, soft-contact, payload trials; no retuning on final test data.</w:t>
      </w:r>
    </w:p>
    <w:p>
      <w:pPr>
        <w:pStyle w:val="ListNumber"/>
        <w:spacing w:after="80"/>
      </w:pPr>
      <w:r>
        <w:rPr>
          <w:b/>
        </w:rPr>
        <w:t xml:space="preserve">Integrate results into the manuscript. </w:t>
      </w:r>
      <w:r>
        <w:t>Every technical claim must map to an implemented equation and a measured experiment.</w:t>
      </w:r>
    </w:p>
    <w:p>
      <w:pPr>
        <w:pStyle w:val="Heading1"/>
      </w:pPr>
      <w:r>
        <w:t>8. Manuscript-safe wording guide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8D0D8"/>
          <w:left w:val="single" w:sz="4" w:space="0" w:color="C8D0D8"/>
          <w:bottom w:val="single" w:sz="4" w:space="0" w:color="C8D0D8"/>
          <w:right w:val="single" w:sz="4" w:space="0" w:color="C8D0D8"/>
          <w:insideH w:val="single" w:sz="4" w:space="0" w:color="C8D0D8"/>
          <w:insideV w:val="single" w:sz="4" w:space="0" w:color="C8D0D8"/>
        </w:tblBorders>
      </w:tblPr>
      <w:tblGrid>
        <w:gridCol w:w="5112"/>
        <w:gridCol w:w="4464"/>
      </w:tblGrid>
      <w:tr>
        <w:trPr>
          <w:tblHeader w:val="true"/>
        </w:trPr>
        <w:tc>
          <w:tcPr>
            <w:tcW w:type="dxa" w:w="5083"/>
            <w:shd w:fill="123A5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Prefer</w:t>
            </w:r>
          </w:p>
        </w:tc>
        <w:tc>
          <w:tcPr>
            <w:tcW w:type="dxa" w:w="5083"/>
            <w:shd w:fill="123A5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Avoid</w:t>
            </w:r>
          </w:p>
        </w:tc>
      </w:tr>
      <w:tr>
        <w:trPr>
          <w:cantSplit/>
        </w:trPr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/>
                <w:sz w:val="18"/>
              </w:rPr>
              <w:t>"supervisory Digital Twin that augments existing safety functions"</w:t>
            </w:r>
          </w:p>
        </w:tc>
        <w:tc>
          <w:tcPr>
            <w:tcW w:type="dxa" w:w="446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/>
                <w:sz w:val="18"/>
              </w:rPr>
              <w:t>"replaces the E-stop / certified safety controller"</w:t>
            </w:r>
          </w:p>
        </w:tc>
      </w:tr>
      <w:tr>
        <w:trPr>
          <w:cantSplit/>
        </w:trPr>
        <w:tc>
          <w:tcPr>
            <w:tcW w:type="dxa" w:w="5112"/>
            <w:shd w:fill="F8FAFC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/>
                <w:sz w:val="18"/>
              </w:rPr>
              <w:t>"sensorless contact and payload inference without an external force/torque sensor"</w:t>
            </w:r>
          </w:p>
        </w:tc>
        <w:tc>
          <w:tcPr>
            <w:tcW w:type="dxa" w:w="4464"/>
            <w:shd w:fill="F8FAFC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/>
                <w:sz w:val="18"/>
              </w:rPr>
              <w:t>"equivalent to a force/torque sensor"</w:t>
            </w:r>
          </w:p>
        </w:tc>
      </w:tr>
      <w:tr>
        <w:trPr>
          <w:cantSplit/>
        </w:trPr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/>
                <w:sz w:val="18"/>
              </w:rPr>
              <w:t>"CRI ACK RTT" and "estimated one-way delay = RTT/2 under approximate symmetry"</w:t>
            </w:r>
          </w:p>
        </w:tc>
        <w:tc>
          <w:tcPr>
            <w:tcW w:type="dxa" w:w="446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/>
                <w:sz w:val="18"/>
              </w:rPr>
              <w:t>"measured one-way latency = RTT/2"</w:t>
            </w:r>
          </w:p>
        </w:tc>
      </w:tr>
      <w:tr>
        <w:trPr>
          <w:cantSplit/>
        </w:trPr>
        <w:tc>
          <w:tcPr>
            <w:tcW w:type="dxa" w:w="5112"/>
            <w:shd w:fill="F8FAFC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/>
                <w:sz w:val="18"/>
              </w:rPr>
              <w:t>"telemetry-observed TX-to-Motion response"</w:t>
            </w:r>
          </w:p>
        </w:tc>
        <w:tc>
          <w:tcPr>
            <w:tcW w:type="dxa" w:w="4464"/>
            <w:shd w:fill="F8FAFC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/>
                <w:sz w:val="18"/>
              </w:rPr>
              <w:t>"pure actuator latency"</w:t>
            </w:r>
          </w:p>
        </w:tc>
      </w:tr>
      <w:tr>
        <w:trPr>
          <w:cantSplit/>
        </w:trPr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/>
                <w:sz w:val="18"/>
              </w:rPr>
              <w:t>"CUSUM accumulates evidence of residual departure"</w:t>
            </w:r>
          </w:p>
        </w:tc>
        <w:tc>
          <w:tcPr>
            <w:tcW w:type="dxa" w:w="446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/>
                <w:sz w:val="18"/>
              </w:rPr>
              <w:t>"CUSUM instantly detects every collision"</w:t>
            </w:r>
          </w:p>
        </w:tc>
      </w:tr>
    </w:tbl>
    <w:p>
      <w:pPr>
        <w:spacing w:after="20"/>
      </w:pPr>
    </w:p>
    <w:p>
      <w:pPr>
        <w:pStyle w:val="Heading1"/>
      </w:pPr>
      <w:r>
        <w:t>Source basis</w:t>
      </w:r>
    </w:p>
    <w:p>
      <w:r>
        <w:t>This document integrates the following sources. Repository statements were checked against the current public GitHub files available on 1 October 2026; project-stage statements from the PDFs retain their original audit dates.</w:t>
      </w:r>
    </w:p>
    <w:p>
      <w:pPr>
        <w:pStyle w:val="ListBullet"/>
      </w:pPr>
      <w:r>
        <w:rPr>
          <w:b/>
        </w:rPr>
        <w:t xml:space="preserve">Public GitHub repository: </w:t>
      </w:r>
      <w:hyperlink r:id="rId11">
        <w:r>
          <w:rPr>
            <w:color w:val="0563C1"/>
            <w:u w:val="single"/>
          </w:rPr>
          <w:t>https://github.com/dungnguyen15213/6DOF-Rebel-Cobot-Control</w:t>
        </w:r>
      </w:hyperlink>
    </w:p>
    <w:p>
      <w:pPr>
        <w:pStyle w:val="ListBullet"/>
      </w:pPr>
      <w:r>
        <w:rPr>
          <w:b/>
        </w:rPr>
        <w:t xml:space="preserve">Current identification collection guide: </w:t>
      </w:r>
      <w:hyperlink r:id="rId12">
        <w:r>
          <w:rPr>
            <w:color w:val="0563C1"/>
            <w:u w:val="single"/>
          </w:rPr>
          <w:t>https://github.com/dungnguyen15213/6DOF-Rebel-Cobot-Control/blob/main/IDENTIFICATION_DATA_COLLECTION.md</w:t>
        </w:r>
      </w:hyperlink>
    </w:p>
    <w:p>
      <w:pPr>
        <w:pStyle w:val="ListBullet"/>
      </w:pPr>
      <w:r>
        <w:rPr>
          <w:b/>
        </w:rPr>
        <w:t xml:space="preserve">Current identification logger implementation: </w:t>
      </w:r>
      <w:hyperlink r:id="rId13">
        <w:r>
          <w:rPr>
            <w:color w:val="0563C1"/>
            <w:u w:val="single"/>
          </w:rPr>
          <w:t>https://raw.githubusercontent.com/dungnguyen15213/6DOF-Rebel-Cobot-Control/main/core/identification_logger.py</w:t>
        </w:r>
      </w:hyperlink>
    </w:p>
    <w:p>
      <w:pPr>
        <w:pStyle w:val="ListBullet"/>
      </w:pPr>
      <w:r>
        <w:rPr>
          <w:b/>
        </w:rPr>
        <w:t xml:space="preserve">Current GUI/status callback: </w:t>
      </w:r>
      <w:hyperlink r:id="rId14">
        <w:r>
          <w:rPr>
            <w:color w:val="0563C1"/>
            <w:u w:val="single"/>
          </w:rPr>
          <w:t>https://raw.githubusercontent.com/dungnguyen15213/6DOF-Rebel-Cobot-Control/main/gui/main_window.py</w:t>
        </w:r>
      </w:hyperlink>
    </w:p>
    <w:p>
      <w:pPr>
        <w:pStyle w:val="ListBullet"/>
      </w:pPr>
      <w:r>
        <w:rPr>
          <w:b/>
        </w:rPr>
        <w:t xml:space="preserve">User-supplied roadmap: </w:t>
      </w:r>
    </w:p>
    <w:p>
      <w:pPr>
        <w:pStyle w:val="ListBullet"/>
      </w:pPr>
      <w:r>
        <w:rPr>
          <w:b/>
        </w:rPr>
        <w:t xml:space="preserve">User-supplied next-steps/math brief: </w:t>
      </w:r>
    </w:p>
    <w:p>
      <w:pPr>
        <w:pStyle w:val="ListBullet"/>
      </w:pPr>
      <w:r>
        <w:rPr>
          <w:b/>
        </w:rPr>
        <w:t xml:space="preserve">User-supplied latency methodology review: </w:t>
      </w:r>
    </w:p>
    <w:p>
      <w:pPr>
        <w:pStyle w:val="ListBullet"/>
      </w:pPr>
      <w:r>
        <w:rPr>
          <w:b/>
        </w:rPr>
        <w:t xml:space="preserve">User-supplied Research.docx / Gemini manuscript concept: 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/>
        <w:color w:val="6B7280"/>
        <w:sz w:val="17"/>
      </w:rPr>
      <w:t>Research Summary - Context-Aware Digital Twin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1F29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23A5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1F5D8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2A7F8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23A5A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Arial" w:hAnsi="Arial"/>
      <w:b w:val="0"/>
      <w:i/>
      <w:iCs/>
      <w:color w:val="1F5D85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120"/>
      <w:ind w:left="259" w:right="259"/>
    </w:pPr>
    <w:rPr>
      <w:rFonts w:ascii="Liberation Mono" w:hAnsi="Liberation Mono"/>
      <w:color w:val="222222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dungnguyen15213/6DOF-Rebel-Cobot-Control" TargetMode="External"/><Relationship Id="rId12" Type="http://schemas.openxmlformats.org/officeDocument/2006/relationships/hyperlink" Target="https://github.com/dungnguyen15213/6DOF-Rebel-Cobot-Control/blob/main/IDENTIFICATION_DATA_COLLECTION.md" TargetMode="External"/><Relationship Id="rId13" Type="http://schemas.openxmlformats.org/officeDocument/2006/relationships/hyperlink" Target="https://raw.githubusercontent.com/dungnguyen15213/6DOF-Rebel-Cobot-Control/main/core/identification_logger.py" TargetMode="External"/><Relationship Id="rId14" Type="http://schemas.openxmlformats.org/officeDocument/2006/relationships/hyperlink" Target="https://raw.githubusercontent.com/dungnguyen15213/6DOF-Rebel-Cobot-Control/main/gui/main_window.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