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NHÀ VIỆT ONE (NVO)</w:t>
            </w:r>
          </w:p>
          <w:p>
            <w:pPr>
              <w:spacing w:after="0" w:before="0" w:line="288"/>
              <w:jc w:val="center"/>
            </w:pPr>
            <w:r>
              <w:rPr>
                <w:rFonts w:ascii="Times New Roman" w:cs="Times New Roman" w:eastAsia="Times New Roman" w:hAnsi="Times New Roman"/>
                <w:sz w:val="24"/>
                <w:szCs w:val="24"/>
              </w:rPr>
              <w:t xml:space="preserve"/>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THIẾT KẾ VÀ THI CÔNG TRỌN GÓI NHÀ Ở</w:t>
      </w:r>
    </w:p>
    <w:p>
      <w:pPr>
        <w:spacing w:after="160" w:before="0" w:line="288"/>
        <w:jc w:val="center"/>
      </w:pPr>
      <w:r>
        <w:rPr>
          <w:rFonts w:ascii="Times New Roman" w:cs="Times New Roman" w:eastAsia="Times New Roman" w:hAnsi="Times New Roman"/>
          <w:i/>
          <w:iCs/>
          <w:sz w:val="26"/>
          <w:szCs w:val="26"/>
        </w:rPr>
        <w:t xml:space="preserve">Công trình: Nhà ở {o_1} tầng – Diện tích sàn xây dựng: {o_2} m² – Gói vật tư: {o_3}</w:t>
      </w:r>
    </w:p>
    <w:p>
      <w:pPr>
        <w:spacing w:after="160" w:before="0" w:line="288"/>
        <w:jc w:val="center"/>
      </w:pPr>
      <w:r>
        <w:rPr>
          <w:rFonts w:ascii="Times New Roman" w:cs="Times New Roman" w:eastAsia="Times New Roman" w:hAnsi="Times New Roman"/>
          <w:i/>
          <w:iCs/>
          <w:sz w:val="26"/>
          <w:szCs w:val="26"/>
        </w:rPr>
        <w:t xml:space="preserve">Địa điểm xây dựng: {dia_diem}</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Xây dựng số 135/2025/QH15 (có hiệu lực từ 01/7/2026);</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210/2026/NĐ-CP quy định chi tiết và hướng dẫn thi hành một số điều của Luật Xây dựng về hợp đồng xây dựng;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06/2021/NĐ-CP về quản lý chất lượng, thi công xây dựng và bảo trì công trình xây dựng (đã được sửa đổi, bổ sung) và các văn bản thay thế (nếu có);</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GIAO THẦU (BÊN A – CHỦ NHÀ):</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Ông/Bà {doi_tac_ho_ten}</w:t>
      </w:r>
    </w:p>
    <w:p>
      <w:pPr>
        <w:spacing w:after="20" w:before="0" w:line="288"/>
        <w:ind w:left="360"/>
        <w:jc w:val="left"/>
      </w:pPr>
      <w:r>
        <w:rPr>
          <w:rFonts w:ascii="Times New Roman" w:cs="Times New Roman" w:eastAsia="Times New Roman" w:hAnsi="Times New Roman"/>
          <w:sz w:val="26"/>
          <w:szCs w:val="26"/>
        </w:rPr>
        <w:t xml:space="preserve">Ngày sinh: {o_4}</w:t>
      </w:r>
    </w:p>
    <w:p>
      <w:pPr>
        <w:spacing w:after="20" w:before="0" w:line="288"/>
        <w:ind w:left="360"/>
        <w:jc w:val="left"/>
      </w:pPr>
      <w:r>
        <w:rPr>
          <w:rFonts w:ascii="Times New Roman" w:cs="Times New Roman" w:eastAsia="Times New Roman" w:hAnsi="Times New Roman"/>
          <w:sz w:val="26"/>
          <w:szCs w:val="26"/>
        </w:rPr>
        <w:t xml:space="preserve">Số định danh cá nhân/CCCD: {o_5} cấp ngày {o_6} tại {o_7}</w:t>
      </w:r>
    </w:p>
    <w:p>
      <w:pPr>
        <w:spacing w:after="20" w:before="0" w:line="288"/>
        <w:ind w:left="360"/>
        <w:jc w:val="left"/>
      </w:pPr>
      <w:r>
        <w:rPr>
          <w:rFonts w:ascii="Times New Roman" w:cs="Times New Roman" w:eastAsia="Times New Roman" w:hAnsi="Times New Roman"/>
          <w:sz w:val="26"/>
          <w:szCs w:val="26"/>
        </w:rPr>
        <w:t xml:space="preserve">Địa chỉ thường trú: {doi_tac_dia_chi}</w:t>
      </w:r>
    </w:p>
    <w:p>
      <w:pPr>
        <w:spacing w:after="20" w:before="0" w:line="288"/>
        <w:ind w:left="360"/>
        <w:jc w:val="left"/>
      </w:pPr>
      <w:r>
        <w:rPr>
          <w:rFonts w:ascii="Times New Roman" w:cs="Times New Roman" w:eastAsia="Times New Roman" w:hAnsi="Times New Roman"/>
          <w:sz w:val="26"/>
          <w:szCs w:val="26"/>
        </w:rPr>
        <w:t xml:space="preserve">Điện thoại: {doi_tac_dien_thoai}  Email: {doi_tac_email}</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NHẬN THẦU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ONE (NVO)</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{o_8} – Chức vụ: {o_9} – theo Giấy ủy quyền số {o_10} ngày {o_11})</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ký kết hợp đồng thiết kế và thi công trọn gói (chìa khóa trao tay)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Hồ sơ hợp đồng</w:t>
      </w:r>
    </w:p>
    <w:p>
      <w:pPr>
        <w:spacing w:after="80" w:before="40" w:line="288"/>
        <w:jc w:val="both"/>
      </w:pPr>
      <w:r>
        <w:rPr>
          <w:rFonts w:ascii="Times New Roman" w:cs="Times New Roman" w:eastAsia="Times New Roman" w:hAnsi="Times New Roman"/>
          <w:sz w:val="26"/>
          <w:szCs w:val="26"/>
        </w:rPr>
        <w:t xml:space="preserve">1.1. Hồ sơ hợp đồng gồm, theo thứ tự ưu tiên: (a) hợp đồng này và các phụ lục; (b) Phụ lục 01 – Bảng chủng loại vật tư theo gói; (c) Phụ lục 02 – Bảng tính diện tích và giá trị hợp đồng; (d) hồ sơ thiết kế được Bên A ký chốt; (e) Phụ lục 03 – Tiến độ thi công; (f) báo giá của Bên B.</w:t>
      </w:r>
    </w:p>
    <w:p>
      <w:pPr>
        <w:spacing w:after="80" w:before="40" w:line="288"/>
        <w:jc w:val="both"/>
      </w:pPr>
      <w:r>
        <w:rPr>
          <w:rFonts w:ascii="Times New Roman" w:cs="Times New Roman" w:eastAsia="Times New Roman" w:hAnsi="Times New Roman"/>
          <w:sz w:val="26"/>
          <w:szCs w:val="26"/>
        </w:rPr>
        <w:t xml:space="preserve">1.2. Hồ sơ thiết kế được Bên A ký chốt là cơ sở để thi công; mọi thay đổi sau khi ký chốt áp dụng Điều 8.</w:t>
      </w:r>
    </w:p>
    <w:p>
      <w:pPr>
        <w:pStyle w:val="Heading2"/>
        <w:keepNext/>
        <w:spacing w:after="80" w:before="200" w:line="288"/>
        <w:jc w:val="both"/>
      </w:pPr>
      <w:r>
        <w:rPr>
          <w:rFonts w:ascii="Times New Roman" w:cs="Times New Roman" w:eastAsia="Times New Roman" w:hAnsi="Times New Roman"/>
          <w:b/>
          <w:bCs/>
          <w:sz w:val="26"/>
          <w:szCs w:val="26"/>
        </w:rPr>
        <w:t xml:space="preserve">Điều 2. Phạm vi công việc</w:t>
      </w:r>
    </w:p>
    <w:p>
      <w:pPr>
        <w:spacing w:after="80" w:before="40" w:line="288"/>
        <w:jc w:val="both"/>
      </w:pPr>
      <w:r>
        <w:rPr>
          <w:rFonts w:ascii="Times New Roman" w:cs="Times New Roman" w:eastAsia="Times New Roman" w:hAnsi="Times New Roman"/>
          <w:sz w:val="26"/>
          <w:szCs w:val="26"/>
        </w:rPr>
        <w:t xml:space="preserve">2.1. Bên B thực hiện trọn gói: (a) thiết kế kiến trúc, kết cấu, điện nước [và nội thất – nếu có]; (b) thi công phần thô; (c) cung cấp vật tư và thi công hoàn thiện theo gói vật tư đã chọn tại Phụ lục 01; (d) dọn dẹp, bàn giao nhà đưa vào sử dụng.</w:t>
      </w:r>
    </w:p>
    <w:p>
      <w:pPr>
        <w:spacing w:after="80" w:before="40" w:line="288"/>
        <w:jc w:val="both"/>
      </w:pPr>
      <w:r>
        <w:rPr>
          <w:rFonts w:ascii="Times New Roman" w:cs="Times New Roman" w:eastAsia="Times New Roman" w:hAnsi="Times New Roman"/>
          <w:sz w:val="26"/>
          <w:szCs w:val="26"/>
        </w:rPr>
        <w:t xml:space="preserve">2.2. Phần thô gồm: đào đất, móng, kết cấu bê tông cốt thép, xây tường, đi đường ống điện nước âm tường/sàn, chống thấm, mái, trát.</w:t>
      </w:r>
    </w:p>
    <w:p>
      <w:pPr>
        <w:spacing w:after="80" w:before="40" w:line="288"/>
        <w:jc w:val="both"/>
      </w:pPr>
      <w:r>
        <w:rPr>
          <w:rFonts w:ascii="Times New Roman" w:cs="Times New Roman" w:eastAsia="Times New Roman" w:hAnsi="Times New Roman"/>
          <w:sz w:val="26"/>
          <w:szCs w:val="26"/>
        </w:rPr>
        <w:t xml:space="preserve">2.3. Phần hoàn thiện gồm: ốp lát, sơn bả, trần thạch cao, cửa, thiết bị vệ sinh, thiết bị điện, lan can cầu thang, đá ốp, {o_12} theo Phụ lục 01.</w:t>
      </w:r>
    </w:p>
    <w:p>
      <w:pPr>
        <w:spacing w:after="80" w:before="40" w:line="288"/>
        <w:jc w:val="both"/>
      </w:pPr>
      <w:r>
        <w:rPr>
          <w:rFonts w:ascii="Times New Roman" w:cs="Times New Roman" w:eastAsia="Times New Roman" w:hAnsi="Times New Roman"/>
          <w:sz w:val="26"/>
          <w:szCs w:val="26"/>
        </w:rPr>
        <w:t xml:space="preserve">2.4. Không bao gồm (trừ khi ghi khác tại Phụ lục 01): nội thất rời, rèm, điều hòa, bình nóng lạnh, thiết bị bếp, cổng tường rào, sân vườn, đấu nối điện lưới/nước máy với đơn vị cấp, lệ phí cấp phép.</w:t>
      </w:r>
    </w:p>
    <w:p>
      <w:pPr>
        <w:spacing w:after="80" w:before="40" w:line="288"/>
        <w:jc w:val="both"/>
      </w:pPr>
      <w:r>
        <w:rPr>
          <w:rFonts w:ascii="Times New Roman" w:cs="Times New Roman" w:eastAsia="Times New Roman" w:hAnsi="Times New Roman"/>
          <w:sz w:val="26"/>
          <w:szCs w:val="26"/>
        </w:rPr>
        <w:t xml:space="preserve">2.5. Hồ sơ xin phép xây dựng:</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B lập hồ sơ và thay mặt Bên A nộp xin phép (Bên A ký giấy ủy quyền, chịu lệ phí); thời gian chờ cấp phép không tính vào tiến độ.</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B chỉ lập bản vẽ xin phép; Bên A tự nộp và nhận giấy phép.</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Công trình thuộc diện miễn giấy phép; Bên A chịu trách nhiệm xác nhận với chính quyền địa phương.</w:t>
      </w:r>
    </w:p>
    <w:p>
      <w:pPr>
        <w:pBdr>
          <w:left w:val="single" w:color="4F81BD" w:sz="18" w:space="6"/>
        </w:pBdr>
        <w:shd w:fill="EAF1FB" w:color="auto" w:val="clear"/>
        <w:spacing w:after="40" w:before="20" w:line="288"/>
        <w:ind w:left="360"/>
        <w:jc w:val="both"/>
      </w:pPr>
      <w:r>
        <w:t xml:space="preserve">{/pa_1_c}</w:t>
      </w:r>
    </w:p>
    <w:p>
      <w:pPr>
        <w:pStyle w:val="Heading2"/>
        <w:keepNext/>
        <w:spacing w:after="80" w:before="200" w:line="288"/>
        <w:jc w:val="both"/>
      </w:pPr>
      <w:r>
        <w:rPr>
          <w:rFonts w:ascii="Times New Roman" w:cs="Times New Roman" w:eastAsia="Times New Roman" w:hAnsi="Times New Roman"/>
          <w:b/>
          <w:bCs/>
          <w:sz w:val="26"/>
          <w:szCs w:val="26"/>
        </w:rPr>
        <w:t xml:space="preserve">Điều 3. Gói vật tư và cơ chế chênh lệch</w:t>
      </w:r>
    </w:p>
    <w:p>
      <w:pPr>
        <w:spacing w:after="80" w:before="40" w:line="288"/>
        <w:jc w:val="both"/>
      </w:pPr>
      <w:r>
        <w:rPr>
          <w:rFonts w:ascii="Times New Roman" w:cs="Times New Roman" w:eastAsia="Times New Roman" w:hAnsi="Times New Roman"/>
          <w:sz w:val="26"/>
          <w:szCs w:val="26"/>
        </w:rPr>
        <w:t xml:space="preserve">3.1. Vật tư hoàn thiện được cung cấp theo gói: ☐ Cơ bản ☐ Khá ☐ Cao cấp, với chủng loại, thương hiệu và </w:t>
      </w:r>
      <w:r>
        <w:rPr>
          <w:rFonts w:ascii="Times New Roman" w:cs="Times New Roman" w:eastAsia="Times New Roman" w:hAnsi="Times New Roman"/>
          <w:b/>
          <w:bCs/>
          <w:sz w:val="26"/>
          <w:szCs w:val="26"/>
        </w:rPr>
        <w:t xml:space="preserve">đơn giá tạm tính</w:t>
      </w:r>
      <w:r>
        <w:rPr>
          <w:rFonts w:ascii="Times New Roman" w:cs="Times New Roman" w:eastAsia="Times New Roman" w:hAnsi="Times New Roman"/>
          <w:sz w:val="26"/>
          <w:szCs w:val="26"/>
        </w:rPr>
        <w:t xml:space="preserve"> từng loại ghi tại Phụ lục 01.</w:t>
      </w:r>
    </w:p>
    <w:p>
      <w:pPr>
        <w:spacing w:after="80" w:before="40" w:line="288"/>
        <w:jc w:val="both"/>
      </w:pPr>
      <w:r>
        <w:rPr>
          <w:rFonts w:ascii="Times New Roman" w:cs="Times New Roman" w:eastAsia="Times New Roman" w:hAnsi="Times New Roman"/>
          <w:sz w:val="26"/>
          <w:szCs w:val="26"/>
        </w:rPr>
        <w:t xml:space="preserve">3.2. Bên A chọn mẫu cụ thể trong danh mục của gói tại showroom/nhà cung cấp do Bên B giới thiệu và ký xác nhận "Phiếu chọn vật tư" trước thời điểm thi công hạng mục đó ít nhất {o_13}  ngày.</w:t>
      </w:r>
    </w:p>
    <w:p>
      <w:pPr>
        <w:spacing w:after="80" w:before="40" w:line="288"/>
        <w:jc w:val="both"/>
      </w:pPr>
      <w:r>
        <w:rPr>
          <w:rFonts w:ascii="Times New Roman" w:cs="Times New Roman" w:eastAsia="Times New Roman" w:hAnsi="Times New Roman"/>
          <w:sz w:val="26"/>
          <w:szCs w:val="26"/>
        </w:rPr>
        <w:t xml:space="preserve">3.3. Khi Bên A chọn vật tư khác chủng loại hoặc giá cao/thấp hơn đơn giá tạm tính:</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Chênh lệch = (đơn giá thực tế – đơn giá tạm tính) × khối lượng thực tế; phần tăng Bên A thanh toán thêm, phần giảm được trừ vào giá hợp đồng.</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Như Phương án A, nhưng chỉ tính phần tăng; phần giảm không trừ (Bên B chịu thêm chi phí thi công/hao hụt).</w:t>
      </w:r>
    </w:p>
    <w:p>
      <w:pPr>
        <w:pBdr>
          <w:left w:val="single" w:color="4F81BD" w:sz="18" w:space="6"/>
        </w:pBdr>
        <w:shd w:fill="EAF1FB" w:color="auto" w:val="clear"/>
        <w:spacing w:after="40" w:before="20" w:line="288"/>
        <w:ind w:left="360"/>
        <w:jc w:val="both"/>
      </w:pPr>
      <w:r>
        <w:t xml:space="preserve">{/pa_2_b}</w:t>
      </w:r>
    </w:p>
    <w:p>
      <w:pPr>
        <w:spacing w:after="80" w:before="40" w:line="288"/>
        <w:jc w:val="both"/>
      </w:pPr>
      <w:r>
        <w:rPr>
          <w:rFonts w:ascii="Times New Roman" w:cs="Times New Roman" w:eastAsia="Times New Roman" w:hAnsi="Times New Roman"/>
          <w:sz w:val="26"/>
          <w:szCs w:val="26"/>
        </w:rPr>
        <w:t xml:space="preserve">3.4. Vật tư do Bên A tự mua và giao cho Bên B lắp đặt: Bên B trừ đơn giá vật tư tạm tính tương ứng; Bên A chịu trách nhiệm về chất lượng, thời gian giao vật tư; Bên B chỉ bảo hành phần lắp đặt.</w:t>
      </w:r>
    </w:p>
    <w:p>
      <w:pPr>
        <w:spacing w:after="80" w:before="40" w:line="288"/>
        <w:jc w:val="both"/>
      </w:pPr>
      <w:r>
        <w:rPr>
          <w:rFonts w:ascii="Times New Roman" w:cs="Times New Roman" w:eastAsia="Times New Roman" w:hAnsi="Times New Roman"/>
          <w:sz w:val="26"/>
          <w:szCs w:val="26"/>
        </w:rPr>
        <w:t xml:space="preserve">3.5. Đơn giá phần thô và nhân công là đơn giá cố định, không điều chỉnh trong suốt quá trình thi công, trừ các trường hợp tại khoản 4.3.</w:t>
      </w:r>
    </w:p>
    <w:p>
      <w:pPr>
        <w:pStyle w:val="Heading2"/>
        <w:keepNext/>
        <w:spacing w:after="80" w:before="200" w:line="288"/>
        <w:jc w:val="both"/>
      </w:pPr>
      <w:r>
        <w:rPr>
          <w:rFonts w:ascii="Times New Roman" w:cs="Times New Roman" w:eastAsia="Times New Roman" w:hAnsi="Times New Roman"/>
          <w:b/>
          <w:bCs/>
          <w:sz w:val="26"/>
          <w:szCs w:val="26"/>
        </w:rPr>
        <w:t xml:space="preserve">Điều 4. Giá hợp đồng</w:t>
      </w:r>
    </w:p>
    <w:p>
      <w:pPr>
        <w:spacing w:after="80" w:before="40" w:line="288"/>
        <w:jc w:val="both"/>
      </w:pPr>
      <w:r>
        <w:rPr>
          <w:rFonts w:ascii="Times New Roman" w:cs="Times New Roman" w:eastAsia="Times New Roman" w:hAnsi="Times New Roman"/>
          <w:sz w:val="26"/>
          <w:szCs w:val="26"/>
        </w:rPr>
        <w:t xml:space="preserve">4.1. Giá hợp đồng trọn gói: </w:t>
      </w:r>
      <w:r>
        <w:rPr>
          <w:rFonts w:ascii="Times New Roman" w:cs="Times New Roman" w:eastAsia="Times New Roman" w:hAnsi="Times New Roman"/>
          <w:b/>
          <w:bCs/>
          <w:sz w:val="26"/>
          <w:szCs w:val="26"/>
        </w:rPr>
        <w:t xml:space="preserve">{gia_tri}</w:t>
      </w:r>
      <w:r>
        <w:rPr>
          <w:rFonts w:ascii="Times New Roman" w:cs="Times New Roman" w:eastAsia="Times New Roman" w:hAnsi="Times New Roman"/>
          <w:sz w:val="26"/>
          <w:szCs w:val="26"/>
        </w:rPr>
        <w:t xml:space="preserve"> (Bằng chữ: {gia_tri_bang_chu}), được xác định theo: đơn giá trọn gói {o_14} đồng/m² × diện tích sàn xây dựng {o_15} m² (cách tính diện tích tại Phụ lục 02) + chi phí thiết kế {o_16} đồng + các hạng mục tính riêng (nếu có).</w:t>
      </w:r>
    </w:p>
    <w:p>
      <w:pPr>
        <w:spacing w:after="80" w:before="40" w:line="288"/>
        <w:jc w:val="both"/>
      </w:pPr>
      <w:r>
        <w:rPr>
          <w:rFonts w:ascii="Times New Roman" w:cs="Times New Roman" w:eastAsia="Times New Roman" w:hAnsi="Times New Roman"/>
          <w:sz w:val="26"/>
          <w:szCs w:val="26"/>
        </w:rPr>
        <w:t xml:space="preserve">4.2. Giá trên {c_1} thuế giá trị gia tăng.</w:t>
      </w:r>
    </w:p>
    <w:p>
      <w:pPr>
        <w:spacing w:after="80" w:before="40" w:line="288"/>
        <w:jc w:val="both"/>
      </w:pPr>
      <w:r>
        <w:rPr>
          <w:rFonts w:ascii="Times New Roman" w:cs="Times New Roman" w:eastAsia="Times New Roman" w:hAnsi="Times New Roman"/>
          <w:sz w:val="26"/>
          <w:szCs w:val="26"/>
        </w:rPr>
        <w:t xml:space="preserve">4.3. Giá hợp đồng là trọn gói, chỉ thay đổi trong các trường hợp: (a) chênh lệch vật tư theo Điều 3; (b) thay đổi thiết kế, phát sinh theo Điều 8; (c) diện tích sàn thực tế thay đổi so với hồ sơ thiết kế ký chốt theo yêu cầu của Bên A; (d) gia cố nền móng đặc biệt (cọc, xử lý nền yếu) chưa có trong hợp đồng do điều kiện địa chất khác với khảo sát.</w:t>
      </w:r>
    </w:p>
    <w:p>
      <w:pPr>
        <w:pStyle w:val="Heading2"/>
        <w:keepNext/>
        <w:spacing w:after="80" w:before="200" w:line="288"/>
        <w:jc w:val="both"/>
      </w:pPr>
      <w:r>
        <w:rPr>
          <w:rFonts w:ascii="Times New Roman" w:cs="Times New Roman" w:eastAsia="Times New Roman" w:hAnsi="Times New Roman"/>
          <w:b/>
          <w:bCs/>
          <w:sz w:val="26"/>
          <w:szCs w:val="26"/>
        </w:rPr>
        <w:t xml:space="preserve">Điều 5. Tạm ứng và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34"/>
        <w:gridCol w:w="4626"/>
        <w:gridCol w:w="1269"/>
        <w:gridCol w:w="2542"/>
      </w:tblGrid>
      <w:tr>
        <w:trPr>
          <w:tblHeader/>
        </w:trPr>
        <w:tc>
          <w:tcPr>
            <w:tcW w:type="dxa" w:w="63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Đợt</w:t>
            </w:r>
          </w:p>
        </w:tc>
        <w:tc>
          <w:tcPr>
            <w:tcW w:type="dxa" w:w="462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Mốc thanh toán</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Tỷ lệ giá HĐ</w:t>
            </w:r>
          </w:p>
        </w:tc>
        <w:tc>
          <w:tcPr>
            <w:tcW w:type="dxa" w:w="254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Điều kiện</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{#dot_thanh_toan}{stt}</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{noi_dung}</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{ty_le}</w:t>
            </w:r>
          </w:p>
        </w:tc>
        <w:tc>
          <w:tcPr>
            <w:tcW w:type="dxa" w:w="254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{/dot_thanh_toan}</w:t>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5.1. Bên A thanh toán trong vòng {o_17}  ngày làm việc kể từ ngày ký biên bản nghiệm thu mốc tương ứng. Bên A không ký biên bản nghiệm thu trong vòng {o_18} ngày kể từ khi Bên B thông báo hoàn thành và không có ý kiến bằng văn bản, mốc được coi là đã nghiệm thu.</w:t>
      </w:r>
    </w:p>
    <w:p>
      <w:pPr>
        <w:spacing w:after="80" w:before="40" w:line="288"/>
        <w:jc w:val="both"/>
      </w:pPr>
      <w:r>
        <w:rPr>
          <w:rFonts w:ascii="Times New Roman" w:cs="Times New Roman" w:eastAsia="Times New Roman" w:hAnsi="Times New Roman"/>
          <w:sz w:val="26"/>
          <w:szCs w:val="26"/>
        </w:rPr>
        <w:t xml:space="preserve">5.2. Bên A chậm thanh toán quá {o_19}  ngày, Bên B được tạm dừng thi công; thời gian tạm dừng cộng vào tiến độ; Bên A chịu lãi chậm trả {o_20} %/tháng trên số tiền chậm trả.</w:t>
      </w:r>
    </w:p>
    <w:p>
      <w:pPr>
        <w:spacing w:after="80" w:before="40" w:line="288"/>
        <w:jc w:val="both"/>
      </w:pPr>
      <w:r>
        <w:rPr>
          <w:rFonts w:ascii="Times New Roman" w:cs="Times New Roman" w:eastAsia="Times New Roman" w:hAnsi="Times New Roman"/>
          <w:sz w:val="26"/>
          <w:szCs w:val="26"/>
        </w:rPr>
        <w:t xml:space="preserve">5.3. Tiền bảo hành 5% giá trị quyết toán được giữ lại và hoàn trả trong vòng {o_21} ngày sau khi hết thời hạn bảo hành phần hoàn thiện.</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Giữ lại 5% tiền mặt như trên (áp dụng cho chủ nhà cá nhân).</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B nộp bảo lãnh bảo hành của ngân hàng giá trị 5%; Bên A thanh toán 100% khi bàn giao (áp dụng khi Bên A là doanh nghiệp).</w:t>
      </w:r>
    </w:p>
    <w:p>
      <w:pPr>
        <w:pBdr>
          <w:left w:val="single" w:color="4F81BD" w:sz="18" w:space="6"/>
        </w:pBdr>
        <w:shd w:fill="EAF1FB" w:color="auto" w:val="clear"/>
        <w:spacing w:after="40" w:before="20" w:line="288"/>
        <w:ind w:left="360"/>
        <w:jc w:val="both"/>
      </w:pPr>
      <w:r>
        <w:t xml:space="preserve">{/pa_3_b}</w:t>
      </w:r>
    </w:p>
    <w:p>
      <w:pPr>
        <w:pStyle w:val="Heading2"/>
        <w:keepNext/>
        <w:spacing w:after="80" w:before="200" w:line="288"/>
        <w:jc w:val="both"/>
      </w:pPr>
      <w:r>
        <w:rPr>
          <w:rFonts w:ascii="Times New Roman" w:cs="Times New Roman" w:eastAsia="Times New Roman" w:hAnsi="Times New Roman"/>
          <w:b/>
          <w:bCs/>
          <w:sz w:val="26"/>
          <w:szCs w:val="26"/>
        </w:rPr>
        <w:t xml:space="preserve">Điều 6. Tiến độ thi công</w:t>
      </w:r>
    </w:p>
    <w:p>
      <w:pPr>
        <w:spacing w:after="80" w:before="40" w:line="288"/>
        <w:jc w:val="both"/>
      </w:pPr>
      <w:r>
        <w:rPr>
          <w:rFonts w:ascii="Times New Roman" w:cs="Times New Roman" w:eastAsia="Times New Roman" w:hAnsi="Times New Roman"/>
          <w:sz w:val="26"/>
          <w:szCs w:val="26"/>
        </w:rPr>
        <w:t xml:space="preserve">6.1. Thời gian thiết kế: {o_22} ngày kể từ ngày nhận tạm ứng, không kể thời gian Bên A góp ý.</w:t>
      </w:r>
    </w:p>
    <w:p>
      <w:pPr>
        <w:spacing w:after="80" w:before="40" w:line="288"/>
        <w:jc w:val="both"/>
      </w:pPr>
      <w:r>
        <w:rPr>
          <w:rFonts w:ascii="Times New Roman" w:cs="Times New Roman" w:eastAsia="Times New Roman" w:hAnsi="Times New Roman"/>
          <w:sz w:val="26"/>
          <w:szCs w:val="26"/>
        </w:rPr>
        <w:t xml:space="preserve">6.2. Thời gian thi công: {o_23} ngày kể từ ngày khởi công, theo tiến độ tại Phụ lục 03. Ngày khởi công dự kiến: {o_24} /20{o_25}, do hai bên thống nhất theo ngày đẹp của Bên A (nếu có).</w:t>
      </w:r>
    </w:p>
    <w:p>
      <w:pPr>
        <w:spacing w:after="80" w:before="40" w:line="288"/>
        <w:jc w:val="both"/>
      </w:pPr>
      <w:r>
        <w:rPr>
          <w:rFonts w:ascii="Times New Roman" w:cs="Times New Roman" w:eastAsia="Times New Roman" w:hAnsi="Times New Roman"/>
          <w:sz w:val="26"/>
          <w:szCs w:val="26"/>
        </w:rPr>
        <w:t xml:space="preserve">6.3. Tiến độ được gia hạn khi: Bên A chậm thanh toán, chậm chọn vật tư, chậm bàn giao mặt bằng; thay đổi thiết kế, phát sinh; thời tiết mưa bão kéo dài không thể thi công; tranh chấp với hàng xóm hoặc cơ quan nhà nước yêu cầu dừng không do lỗi của Bên B; nghỉ Tết Nguyên đán {o_26} ngày; sự kiện bất khả kháng.</w:t>
      </w:r>
    </w:p>
    <w:p>
      <w:pPr>
        <w:pStyle w:val="Heading2"/>
        <w:keepNext/>
        <w:spacing w:after="80" w:before="200" w:line="288"/>
        <w:jc w:val="both"/>
      </w:pPr>
      <w:r>
        <w:rPr>
          <w:rFonts w:ascii="Times New Roman" w:cs="Times New Roman" w:eastAsia="Times New Roman" w:hAnsi="Times New Roman"/>
          <w:b/>
          <w:bCs/>
          <w:sz w:val="26"/>
          <w:szCs w:val="26"/>
        </w:rPr>
        <w:t xml:space="preserve">Điều 7. Chất lượng, giám sát và nghiệm thu</w:t>
      </w:r>
    </w:p>
    <w:p>
      <w:pPr>
        <w:spacing w:after="80" w:before="40" w:line="288"/>
        <w:jc w:val="both"/>
      </w:pPr>
      <w:r>
        <w:rPr>
          <w:rFonts w:ascii="Times New Roman" w:cs="Times New Roman" w:eastAsia="Times New Roman" w:hAnsi="Times New Roman"/>
          <w:sz w:val="26"/>
          <w:szCs w:val="26"/>
        </w:rPr>
        <w:t xml:space="preserve">7.1. Bên B thi công đúng thiết kế ký chốt, tiêu chuẩn kỹ thuật và chủng loại vật tư tại Phụ lục 01; bố trí kỹ sư giám sát công trình: Ông/Bà {o_27} – ĐT: {o_28}</w:t>
      </w:r>
    </w:p>
    <w:p>
      <w:pPr>
        <w:spacing w:after="80" w:before="40" w:line="288"/>
        <w:jc w:val="both"/>
      </w:pPr>
      <w:r>
        <w:rPr>
          <w:rFonts w:ascii="Times New Roman" w:cs="Times New Roman" w:eastAsia="Times New Roman" w:hAnsi="Times New Roman"/>
          <w:sz w:val="26"/>
          <w:szCs w:val="26"/>
        </w:rPr>
        <w:t xml:space="preserve">7.2. Bên A hoặc người được Bên A ủy quyền bằng văn bản có quyền kiểm tra công trình bất cứ lúc nào, nhưng không trực tiếp chỉ đạo thợ của Bên B; ý kiến được ghi vào sổ nhật ký hoặc gửi bằng văn bản/tin nhắn tới giám sát của Bên B.</w:t>
      </w:r>
    </w:p>
    <w:p>
      <w:pPr>
        <w:spacing w:after="80" w:before="40" w:line="288"/>
        <w:jc w:val="both"/>
      </w:pPr>
      <w:r>
        <w:rPr>
          <w:rFonts w:ascii="Times New Roman" w:cs="Times New Roman" w:eastAsia="Times New Roman" w:hAnsi="Times New Roman"/>
          <w:sz w:val="26"/>
          <w:szCs w:val="26"/>
        </w:rPr>
        <w:t xml:space="preserve">7.3. Các công việc khuất (cốt thép móng, cột, dầm, sàn; đường ống âm; chống thấm) phải được Bên A nghiệm thu hoặc chứng kiến trước khi đổ bê tông/che lấp; Bên B gửi ảnh, video nghiệm thu qua nhóm trao đổi chung.</w:t>
      </w:r>
    </w:p>
    <w:p>
      <w:pPr>
        <w:spacing w:after="80" w:before="40" w:line="288"/>
        <w:jc w:val="both"/>
      </w:pPr>
      <w:r>
        <w:rPr>
          <w:rFonts w:ascii="Times New Roman" w:cs="Times New Roman" w:eastAsia="Times New Roman" w:hAnsi="Times New Roman"/>
          <w:sz w:val="26"/>
          <w:szCs w:val="26"/>
        </w:rPr>
        <w:t xml:space="preserve">7.4. Bên B chụp ảnh, ghi nhật ký tiến độ hằng ngày và cập nhật cho Bên A ít nhất {o_29} lần/tuần.</w:t>
      </w:r>
    </w:p>
    <w:p>
      <w:pPr>
        <w:pStyle w:val="Heading2"/>
        <w:keepNext/>
        <w:spacing w:after="80" w:before="200" w:line="288"/>
        <w:jc w:val="both"/>
      </w:pPr>
      <w:r>
        <w:rPr>
          <w:rFonts w:ascii="Times New Roman" w:cs="Times New Roman" w:eastAsia="Times New Roman" w:hAnsi="Times New Roman"/>
          <w:b/>
          <w:bCs/>
          <w:sz w:val="26"/>
          <w:szCs w:val="26"/>
        </w:rPr>
        <w:t xml:space="preserve">Điều 8. Thay đổi thiết kế và phát sinh</w:t>
      </w:r>
    </w:p>
    <w:p>
      <w:pPr>
        <w:spacing w:after="80" w:before="40" w:line="288"/>
        <w:jc w:val="both"/>
      </w:pPr>
      <w:r>
        <w:rPr>
          <w:rFonts w:ascii="Times New Roman" w:cs="Times New Roman" w:eastAsia="Times New Roman" w:hAnsi="Times New Roman"/>
          <w:sz w:val="26"/>
          <w:szCs w:val="26"/>
        </w:rPr>
        <w:t xml:space="preserve">8.1. Bên A yêu cầu thay đổi so với thiết kế đã ký chốt phải lập "Phiếu yêu cầu thay đổi". Bên B báo giá, ảnh hưởng tiến độ trong vòng {o_30}  ngày; hai bên ký phụ lục trước khi thi công.</w:t>
      </w:r>
    </w:p>
    <w:p>
      <w:pPr>
        <w:spacing w:after="80" w:before="40" w:line="288"/>
        <w:jc w:val="both"/>
      </w:pPr>
      <w:r>
        <w:rPr>
          <w:rFonts w:ascii="Times New Roman" w:cs="Times New Roman" w:eastAsia="Times New Roman" w:hAnsi="Times New Roman"/>
          <w:sz w:val="26"/>
          <w:szCs w:val="26"/>
        </w:rPr>
        <w:t xml:space="preserve">8.2. Đơn giá phát sinh: áp dụng đơn giá trong hợp đồng; hạng mục chưa có đơn giá thì thỏa thuận theo giá thị trường. Hạng mục đã thi công phải phá dỡ để làm lại theo yêu cầu của Bên A thì Bên A chịu chi phí phá dỡ và làm lại.</w:t>
      </w:r>
    </w:p>
    <w:p>
      <w:pPr>
        <w:spacing w:after="80" w:before="40" w:line="288"/>
        <w:jc w:val="both"/>
      </w:pPr>
      <w:r>
        <w:rPr>
          <w:rFonts w:ascii="Times New Roman" w:cs="Times New Roman" w:eastAsia="Times New Roman" w:hAnsi="Times New Roman"/>
          <w:sz w:val="26"/>
          <w:szCs w:val="26"/>
        </w:rPr>
        <w:t xml:space="preserve">8.3. Phát sinh có giá trị dưới {o_31} đồng/lần có thể được thống nhất bằng tin nhắn kèm báo giá, tổng hợp vào phụ lục khi quyết toán.</w:t>
      </w:r>
    </w:p>
    <w:p>
      <w:pPr>
        <w:pStyle w:val="Heading2"/>
        <w:keepNext/>
        <w:spacing w:after="80" w:before="200" w:line="288"/>
        <w:jc w:val="both"/>
      </w:pPr>
      <w:r>
        <w:rPr>
          <w:rFonts w:ascii="Times New Roman" w:cs="Times New Roman" w:eastAsia="Times New Roman" w:hAnsi="Times New Roman"/>
          <w:b/>
          <w:bCs/>
          <w:sz w:val="26"/>
          <w:szCs w:val="26"/>
        </w:rPr>
        <w:t xml:space="preserve">Điều 9. An toàn, nhà liền kề và quan hệ với hàng xóm</w:t>
      </w:r>
    </w:p>
    <w:p>
      <w:pPr>
        <w:spacing w:after="80" w:before="40" w:line="288"/>
        <w:jc w:val="both"/>
      </w:pPr>
      <w:r>
        <w:rPr>
          <w:rFonts w:ascii="Times New Roman" w:cs="Times New Roman" w:eastAsia="Times New Roman" w:hAnsi="Times New Roman"/>
          <w:sz w:val="26"/>
          <w:szCs w:val="26"/>
        </w:rPr>
        <w:t xml:space="preserve">9.1. Trước khi khởi công, Bên B chủ trì cùng Bên A và chủ các nhà liền kề lập </w:t>
      </w:r>
      <w:r>
        <w:rPr>
          <w:rFonts w:ascii="Times New Roman" w:cs="Times New Roman" w:eastAsia="Times New Roman" w:hAnsi="Times New Roman"/>
          <w:b/>
          <w:bCs/>
          <w:sz w:val="26"/>
          <w:szCs w:val="26"/>
        </w:rPr>
        <w:t xml:space="preserve">biên bản khảo sát hiện trạng nhà lân cận</w:t>
      </w:r>
      <w:r>
        <w:rPr>
          <w:rFonts w:ascii="Times New Roman" w:cs="Times New Roman" w:eastAsia="Times New Roman" w:hAnsi="Times New Roman"/>
          <w:sz w:val="26"/>
          <w:szCs w:val="26"/>
        </w:rPr>
        <w:t xml:space="preserve"> (ảnh, video các vết nứt, độ nghiêng hiện có). Chủ nhà lân cận không hợp tác thì lập biên bản có xác nhận của tổ dân phố/thôn hoặc lập vi bằng (chi phí do {o_32} chịu).</w:t>
      </w:r>
    </w:p>
    <w:p>
      <w:pPr>
        <w:spacing w:after="80" w:before="40" w:line="288"/>
        <w:jc w:val="both"/>
      </w:pPr>
      <w:r>
        <w:rPr>
          <w:rFonts w:ascii="Times New Roman" w:cs="Times New Roman" w:eastAsia="Times New Roman" w:hAnsi="Times New Roman"/>
          <w:sz w:val="26"/>
          <w:szCs w:val="26"/>
        </w:rPr>
        <w:t xml:space="preserve">9.2. Bên B chịu trách nhiệm biện pháp thi công đảm bảo an toàn: che chắn, chống đỡ, cọc cừ khi cần, hạn chế rung chấn; bồi thường thiệt hại cho nhà lân cận và bên thứ ba do lỗi thi công của Bên B.</w:t>
      </w:r>
    </w:p>
    <w:p>
      <w:pPr>
        <w:spacing w:after="80" w:before="40" w:line="288"/>
        <w:jc w:val="both"/>
      </w:pPr>
      <w:r>
        <w:rPr>
          <w:rFonts w:ascii="Times New Roman" w:cs="Times New Roman" w:eastAsia="Times New Roman" w:hAnsi="Times New Roman"/>
          <w:sz w:val="26"/>
          <w:szCs w:val="26"/>
        </w:rPr>
        <w:t xml:space="preserve">9.3. Hư hại nhà lân cận do yếu tố không do lỗi thi công (nhà lân cận xuống cấp sẵn, móng nông, nền yếu chưa được phát hiện khi khảo sát) do các bên cùng thương lượng; nếu cần bổ sung biện pháp gia cố, chi phí do Bên A chịu theo phụ lục.</w:t>
      </w:r>
    </w:p>
    <w:p>
      <w:pPr>
        <w:spacing w:after="80" w:before="40" w:line="288"/>
        <w:jc w:val="both"/>
      </w:pPr>
      <w:r>
        <w:rPr>
          <w:rFonts w:ascii="Times New Roman" w:cs="Times New Roman" w:eastAsia="Times New Roman" w:hAnsi="Times New Roman"/>
          <w:sz w:val="26"/>
          <w:szCs w:val="26"/>
        </w:rPr>
        <w:t xml:space="preserve">9.4. Bên A chịu trách nhiệm giải quyết các vấn đề về ranh giới đất, quyền sử dụng đất và các thủ tục với chính quyền địa phương.</w:t>
      </w:r>
    </w:p>
    <w:p>
      <w:pPr>
        <w:spacing w:after="80" w:before="40" w:line="288"/>
        <w:jc w:val="both"/>
      </w:pPr>
      <w:r>
        <w:rPr>
          <w:rFonts w:ascii="Times New Roman" w:cs="Times New Roman" w:eastAsia="Times New Roman" w:hAnsi="Times New Roman"/>
          <w:sz w:val="26"/>
          <w:szCs w:val="26"/>
        </w:rPr>
        <w:t xml:space="preserve">9.5. Bên B chịu trách nhiệm toàn bộ về an toàn lao động của thợ trên công trường; mua bảo hiểm tai nạn cho người lao động.</w:t>
      </w:r>
    </w:p>
    <w:p>
      <w:pPr>
        <w:pStyle w:val="Heading2"/>
        <w:keepNext/>
        <w:spacing w:after="80" w:before="200" w:line="288"/>
        <w:jc w:val="both"/>
      </w:pPr>
      <w:r>
        <w:rPr>
          <w:rFonts w:ascii="Times New Roman" w:cs="Times New Roman" w:eastAsia="Times New Roman" w:hAnsi="Times New Roman"/>
          <w:b/>
          <w:bCs/>
          <w:sz w:val="26"/>
          <w:szCs w:val="26"/>
        </w:rPr>
        <w:t xml:space="preserve">Điều 10. Điện, nước, mặt bằng thi công</w:t>
      </w:r>
    </w:p>
    <w:p>
      <w:pPr>
        <w:spacing w:after="80" w:before="40" w:line="288"/>
        <w:jc w:val="both"/>
      </w:pPr>
      <w:r>
        <w:rPr>
          <w:rFonts w:ascii="Times New Roman" w:cs="Times New Roman" w:eastAsia="Times New Roman" w:hAnsi="Times New Roman"/>
          <w:sz w:val="26"/>
          <w:szCs w:val="26"/>
        </w:rPr>
        <w:t xml:space="preserve">10.1. Bên A cung cấp điểm đấu nối điện, nước thi công tại công trình.</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A chịu chi phí tiền điện, nước thi công.</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t xml:space="preserve">{#pa_4_b}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B chịu chi phí tiền điện, nước thi công (đã bao gồm trong giá).</w:t>
      </w:r>
    </w:p>
    <w:p>
      <w:pPr>
        <w:pBdr>
          <w:left w:val="single" w:color="4F81BD" w:sz="18" w:space="6"/>
        </w:pBdr>
        <w:shd w:fill="EAF1FB" w:color="auto" w:val="clear"/>
        <w:spacing w:after="40" w:before="20" w:line="288"/>
        <w:ind w:left="360"/>
        <w:jc w:val="both"/>
      </w:pPr>
      <w:r>
        <w:t xml:space="preserve">{/pa_4_b}</w:t>
      </w:r>
    </w:p>
    <w:p>
      <w:pPr>
        <w:spacing w:after="80" w:before="40" w:line="288"/>
        <w:jc w:val="both"/>
      </w:pPr>
      <w:r>
        <w:rPr>
          <w:rFonts w:ascii="Times New Roman" w:cs="Times New Roman" w:eastAsia="Times New Roman" w:hAnsi="Times New Roman"/>
          <w:sz w:val="26"/>
          <w:szCs w:val="26"/>
        </w:rPr>
        <w:t xml:space="preserve">10.2. Bên A bàn giao mặt bằng sạch (đã phá dỡ nhà cũ, di dời đồ đạc) trước ngày khởi công. Nếu Bên B phá dỡ nhà cũ: chi phí {o_33} đồng, phế liệu thu hồi thuộc về {o_34}</w:t>
      </w:r>
    </w:p>
    <w:p>
      <w:pPr>
        <w:spacing w:after="80" w:before="40" w:line="288"/>
        <w:jc w:val="both"/>
      </w:pPr>
      <w:r>
        <w:rPr>
          <w:rFonts w:ascii="Times New Roman" w:cs="Times New Roman" w:eastAsia="Times New Roman" w:hAnsi="Times New Roman"/>
          <w:sz w:val="26"/>
          <w:szCs w:val="26"/>
        </w:rPr>
        <w:t xml:space="preserve">10.3. Bên B được bố trí chỗ để vật tư, lán trại tạm cho thợ tại công trình [nếu Bên A đồng ý]; giữ vệ sinh khu vực xung quanh, không để vật tư lấn chiếm lòng đường quá thời gian cho phép.</w:t>
      </w:r>
    </w:p>
    <w:p>
      <w:pPr>
        <w:pStyle w:val="Heading2"/>
        <w:keepNext/>
        <w:spacing w:after="80" w:before="200" w:line="288"/>
        <w:jc w:val="both"/>
      </w:pPr>
      <w:r>
        <w:rPr>
          <w:rFonts w:ascii="Times New Roman" w:cs="Times New Roman" w:eastAsia="Times New Roman" w:hAnsi="Times New Roman"/>
          <w:b/>
          <w:bCs/>
          <w:sz w:val="26"/>
          <w:szCs w:val="26"/>
        </w:rPr>
        <w:t xml:space="preserve">Điều 11. Bảo hành</w:t>
      </w:r>
    </w:p>
    <w:p>
      <w:pPr>
        <w:spacing w:after="80" w:before="40" w:line="288"/>
        <w:jc w:val="both"/>
      </w:pPr>
      <w:r>
        <w:rPr>
          <w:rFonts w:ascii="Times New Roman" w:cs="Times New Roman" w:eastAsia="Times New Roman" w:hAnsi="Times New Roman"/>
          <w:sz w:val="26"/>
          <w:szCs w:val="26"/>
        </w:rPr>
        <w:t xml:space="preserve">11.1. Thời hạn bảo hành tính từ ngày ký biên bản bàn giao: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91"/>
        <w:gridCol w:w="2539"/>
        <w:gridCol w:w="2541"/>
      </w:tblGrid>
      <w:tr>
        <w:trPr>
          <w:tblHeader/>
        </w:trPr>
        <w:tc>
          <w:tcPr>
            <w:tcW w:type="dxa" w:w="399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Hạng mục</w:t>
            </w:r>
          </w:p>
        </w:tc>
        <w:tc>
          <w:tcPr>
            <w:tcW w:type="dxa" w:w="253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Thời hạn</w:t>
            </w:r>
          </w:p>
        </w:tc>
        <w:tc>
          <w:tcPr>
            <w:tcW w:type="dxa" w:w="254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Ghi chú</w:t>
            </w:r>
          </w:p>
        </w:tc>
      </w:tr>
      <w:tr>
        <w:trPr>
          <w:tblHeader w:val="off"/>
        </w:trPr>
        <w:tc>
          <w:tcPr>
            <w:tcW w:type="dxa" w:w="39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Kết cấu chịu lực (móng, cột, dầm, sàn)</w:t>
            </w:r>
          </w:p>
        </w:tc>
        <w:tc>
          <w:tcPr>
            <w:tcW w:type="dxa" w:w="25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05 năm hoặc 10 năm</w:t>
            </w:r>
          </w:p>
        </w:tc>
        <w:tc>
          <w:tcPr>
            <w:tcW w:type="dxa" w:w="254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Chọn tại khoản 11.2</w:t>
            </w:r>
          </w:p>
        </w:tc>
      </w:tr>
      <w:tr>
        <w:trPr>
          <w:tblHeader w:val="off"/>
        </w:trPr>
        <w:tc>
          <w:tcPr>
            <w:tcW w:type="dxa" w:w="39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Chống thấm (sàn vệ sinh, mái, sân thượng)</w:t>
            </w:r>
          </w:p>
        </w:tc>
        <w:tc>
          <w:tcPr>
            <w:tcW w:type="dxa" w:w="25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{o_35} năm (mặc định: 05)</w:t>
            </w:r>
          </w:p>
        </w:tc>
        <w:tc>
          <w:tcPr>
            <w:tcW w:type="dxa" w:w="254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39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Phần hoàn thiện (ốp lát, sơn, trần, cửa)</w:t>
            </w:r>
          </w:p>
        </w:tc>
        <w:tc>
          <w:tcPr>
            <w:tcW w:type="dxa" w:w="25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{o_36} tháng (mặc định: 12)</w:t>
            </w:r>
          </w:p>
        </w:tc>
        <w:tc>
          <w:tcPr>
            <w:tcW w:type="dxa" w:w="254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39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Hệ thống điện, nước (phần đường ống, dây)</w:t>
            </w:r>
          </w:p>
        </w:tc>
        <w:tc>
          <w:tcPr>
            <w:tcW w:type="dxa" w:w="25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{o_37} tháng (mặc định: 24)</w:t>
            </w:r>
          </w:p>
        </w:tc>
        <w:tc>
          <w:tcPr>
            <w:tcW w:type="dxa" w:w="254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39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Thiết bị (vệ sinh, điện, bơm {o_38})</w:t>
            </w:r>
          </w:p>
        </w:tc>
        <w:tc>
          <w:tcPr>
            <w:tcW w:type="dxa" w:w="253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Theo nhà sản xuất</w:t>
            </w:r>
          </w:p>
        </w:tc>
        <w:tc>
          <w:tcPr>
            <w:tcW w:type="dxa" w:w="254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Bên B hỗ trợ liên hệ</w:t>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11.2. Bảo hành kết cấu:</w:t>
      </w:r>
    </w:p>
    <w:p>
      <w:pPr>
        <w:pBdr>
          <w:left w:val="single" w:color="4F81BD" w:sz="18" w:space="6"/>
        </w:pBdr>
        <w:shd w:fill="EAF1FB" w:color="auto" w:val="clear"/>
        <w:spacing w:after="40" w:before="20" w:line="288"/>
        <w:ind w:left="360"/>
        <w:jc w:val="both"/>
      </w:pPr>
      <w:r>
        <w:t xml:space="preserve">{#pa_5_a}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{pa_5_a_o}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05 năm.</w:t>
      </w:r>
    </w:p>
    <w:p>
      <w:pPr>
        <w:pBdr>
          <w:left w:val="single" w:color="4F81BD" w:sz="18" w:space="6"/>
        </w:pBdr>
        <w:shd w:fill="EAF1FB" w:color="auto" w:val="clear"/>
        <w:spacing w:after="40" w:before="20" w:line="288"/>
        <w:ind w:left="360"/>
        <w:jc w:val="both"/>
      </w:pPr>
      <w:r>
        <w:t xml:space="preserve">{/pa_5_a}</w:t>
      </w:r>
    </w:p>
    <w:p>
      <w:pPr>
        <w:pBdr>
          <w:left w:val="single" w:color="4F81BD" w:sz="18" w:space="6"/>
        </w:pBdr>
        <w:shd w:fill="EAF1FB" w:color="auto" w:val="clear"/>
        <w:spacing w:after="40" w:before="20" w:line="288"/>
        <w:ind w:left="360"/>
        <w:jc w:val="both"/>
      </w:pPr>
      <w:r>
        <w:t xml:space="preserve">{#pa_5_b}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{pa_5_b_o}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10 năm (áp dụng gói khá/cao cấp hoặc theo thỏa thuận).</w:t>
      </w:r>
    </w:p>
    <w:p>
      <w:pPr>
        <w:pBdr>
          <w:left w:val="single" w:color="4F81BD" w:sz="18" w:space="6"/>
        </w:pBdr>
        <w:shd w:fill="EAF1FB" w:color="auto" w:val="clear"/>
        <w:spacing w:after="40" w:before="20" w:line="288"/>
        <w:ind w:left="360"/>
        <w:jc w:val="both"/>
      </w:pPr>
      <w:r>
        <w:t xml:space="preserve">{/pa_5_b}</w:t>
      </w:r>
    </w:p>
    <w:p>
      <w:pPr>
        <w:spacing w:after="80" w:before="40" w:line="288"/>
        <w:jc w:val="both"/>
      </w:pPr>
      <w:r>
        <w:rPr>
          <w:rFonts w:ascii="Times New Roman" w:cs="Times New Roman" w:eastAsia="Times New Roman" w:hAnsi="Times New Roman"/>
          <w:sz w:val="26"/>
          <w:szCs w:val="26"/>
        </w:rPr>
        <w:t xml:space="preserve">11.3. Bên B có mặt kiểm tra trong vòng {o_39}  giờ kể từ khi nhận thông báo, khắc phục trong thời gian hợp lý. Không bảo hành đối với hư hỏng do sử dụng sai, tự ý sửa chữa cải tạo, hao mòn tự nhiên, thiên tai hoặc do vật tư Bên A tự cung cấp.</w:t>
      </w:r>
    </w:p>
    <w:p>
      <w:pPr>
        <w:pStyle w:val="Heading2"/>
        <w:keepNext/>
        <w:spacing w:after="80" w:before="200" w:line="288"/>
        <w:jc w:val="both"/>
      </w:pPr>
      <w:r>
        <w:rPr>
          <w:rFonts w:ascii="Times New Roman" w:cs="Times New Roman" w:eastAsia="Times New Roman" w:hAnsi="Times New Roman"/>
          <w:b/>
          <w:bCs/>
          <w:sz w:val="26"/>
          <w:szCs w:val="26"/>
        </w:rPr>
        <w:t xml:space="preserve">Điều 12. Phạt vi phạm và chấm dứt hợp đồng</w:t>
      </w:r>
    </w:p>
    <w:p>
      <w:pPr>
        <w:spacing w:after="80" w:before="40" w:line="288"/>
        <w:jc w:val="both"/>
      </w:pPr>
      <w:r>
        <w:rPr>
          <w:rFonts w:ascii="Times New Roman" w:cs="Times New Roman" w:eastAsia="Times New Roman" w:hAnsi="Times New Roman"/>
          <w:sz w:val="26"/>
          <w:szCs w:val="26"/>
        </w:rPr>
        <w:t xml:space="preserve">12.1. Bên B chậm bàn giao do lỗi của mình bị phạt {o_40} % giá hợp đồng/ngày chậm; tổng mức phạt không quá {o_41} % giá trị phần hợp đồng bị vi phạm.</w:t>
      </w:r>
    </w:p>
    <w:p>
      <w:pPr>
        <w:spacing w:after="80" w:before="40" w:line="288"/>
        <w:jc w:val="both"/>
      </w:pPr>
      <w:r>
        <w:rPr>
          <w:rFonts w:ascii="Times New Roman" w:cs="Times New Roman" w:eastAsia="Times New Roman" w:hAnsi="Times New Roman"/>
          <w:sz w:val="26"/>
          <w:szCs w:val="26"/>
        </w:rPr>
        <w:t xml:space="preserve">12.2. Bên A chậm thanh toán: chịu lãi chậm trả theo khoản 5.2.</w:t>
      </w:r>
    </w:p>
    <w:p>
      <w:pPr>
        <w:spacing w:after="80" w:before="40" w:line="288"/>
        <w:jc w:val="both"/>
      </w:pPr>
      <w:r>
        <w:rPr>
          <w:rFonts w:ascii="Times New Roman" w:cs="Times New Roman" w:eastAsia="Times New Roman" w:hAnsi="Times New Roman"/>
          <w:sz w:val="26"/>
          <w:szCs w:val="26"/>
        </w:rPr>
        <w:t xml:space="preserve">12.3. Bên A đơn phương chấm dứt hợp đồng không do lỗi của Bên B: thanh toán giá trị khối lượng đã thực hiện, vật tư đã đặt hàng/đưa về công trình, chi phí thiết kế và bồi thường {o_42} % giá trị phần hợp đồng còn lại.</w:t>
      </w:r>
    </w:p>
    <w:p>
      <w:pPr>
        <w:spacing w:after="80" w:before="40" w:line="288"/>
        <w:jc w:val="both"/>
      </w:pPr>
      <w:r>
        <w:rPr>
          <w:rFonts w:ascii="Times New Roman" w:cs="Times New Roman" w:eastAsia="Times New Roman" w:hAnsi="Times New Roman"/>
          <w:sz w:val="26"/>
          <w:szCs w:val="26"/>
        </w:rPr>
        <w:t xml:space="preserve">12.4. Bên B đơn phương chấm dứt hợp đồng không do lỗi của Bên A hoặc bỏ dở công trình quá {o_43} ngày: hoàn trả phần tiền đã nhận vượt giá trị khối lượng đã thực hiện và bồi thường {o_44} % giá trị phần hợp đồng còn lại.</w:t>
      </w:r>
    </w:p>
    <w:p>
      <w:pPr>
        <w:pStyle w:val="Heading2"/>
        <w:keepNext/>
        <w:spacing w:after="80" w:before="200" w:line="288"/>
        <w:jc w:val="both"/>
      </w:pPr>
      <w:r>
        <w:rPr>
          <w:rFonts w:ascii="Times New Roman" w:cs="Times New Roman" w:eastAsia="Times New Roman" w:hAnsi="Times New Roman"/>
          <w:b/>
          <w:bCs/>
          <w:sz w:val="26"/>
          <w:szCs w:val="26"/>
        </w:rPr>
        <w:t xml:space="preserve">Điều 13.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13.1.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13.2.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13.3.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13.4. Nếu sự kiện bất khả kháng kéo dài quá {o_45}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13.5. Khi hoàn cảnh thay đổi cơ bản theo Điều 420 Bộ luật Dân sự (ví dụ: giá vật liệu chính biến động bất thường vượt quá {o_46}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14. Giải quyết tranh chấp</w:t>
      </w:r>
    </w:p>
    <w:p>
      <w:pPr>
        <w:spacing w:after="80" w:before="40" w:line="288"/>
        <w:jc w:val="both"/>
      </w:pPr>
      <w:r>
        <w:rPr>
          <w:rFonts w:ascii="Times New Roman" w:cs="Times New Roman" w:eastAsia="Times New Roman" w:hAnsi="Times New Roman"/>
          <w:sz w:val="26"/>
          <w:szCs w:val="26"/>
        </w:rPr>
        <w:t xml:space="preserve">14.1.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14.2.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t xml:space="preserve">{#pa_6_a}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{pa_6_a_o}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t xml:space="preserve">{/pa_6_a}</w:t>
      </w:r>
    </w:p>
    <w:p>
      <w:pPr>
        <w:pBdr>
          <w:left w:val="single" w:color="4F81BD" w:sz="18" w:space="6"/>
        </w:pBdr>
        <w:shd w:fill="EAF1FB" w:color="auto" w:val="clear"/>
        <w:spacing w:after="40" w:before="20" w:line="288"/>
        <w:ind w:left="360"/>
        <w:jc w:val="both"/>
      </w:pPr>
      <w:r>
        <w:t xml:space="preserve">{#pa_6_b}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{pa_6_b_o}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pBdr>
          <w:left w:val="single" w:color="4F81BD" w:sz="18" w:space="6"/>
        </w:pBdr>
        <w:shd w:fill="EAF1FB" w:color="auto" w:val="clear"/>
        <w:spacing w:after="40" w:before="20" w:line="288"/>
        <w:ind w:left="360"/>
        <w:jc w:val="both"/>
      </w:pPr>
      <w:r>
        <w:t xml:space="preserve">{/pa_6_b}</w:t>
      </w:r>
    </w:p>
    <w:p>
      <w:pPr>
        <w:spacing w:after="80" w:before="40" w:line="288"/>
        <w:jc w:val="both"/>
      </w:pPr>
      <w:r>
        <w:rPr>
          <w:rFonts w:ascii="Times New Roman" w:cs="Times New Roman" w:eastAsia="Times New Roman" w:hAnsi="Times New Roman"/>
          <w:sz w:val="26"/>
          <w:szCs w:val="26"/>
        </w:rPr>
        <w:t xml:space="preserve">14.3.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15. Thông báo và đại diện liên lạc</w:t>
      </w:r>
    </w:p>
    <w:p>
      <w:pPr>
        <w:spacing w:after="80" w:before="40" w:line="288"/>
        <w:jc w:val="both"/>
      </w:pPr>
      <w:r>
        <w:rPr>
          <w:rFonts w:ascii="Times New Roman" w:cs="Times New Roman" w:eastAsia="Times New Roman" w:hAnsi="Times New Roman"/>
          <w:sz w:val="26"/>
          <w:szCs w:val="26"/>
        </w:rPr>
        <w:t xml:space="preserve">15.1. Mọi thông báo, yêu cầu, chấp thuận theo hợp đồng phải lập bằng văn bản và gửi trực tiếp, qua bưu điện hoặc thư điện tử tới địa chỉ nêu tại phần thông tin các bên. Thông báo qua thư điện tử có giá trị khi gửi từ/tới địa chỉ đã đăng ký dưới đây.</w:t>
      </w:r>
    </w:p>
    <w:p>
      <w:pPr>
        <w:spacing w:after="80" w:before="40" w:line="288"/>
        <w:jc w:val="both"/>
      </w:pPr>
      <w:r>
        <w:rPr>
          <w:rFonts w:ascii="Times New Roman" w:cs="Times New Roman" w:eastAsia="Times New Roman" w:hAnsi="Times New Roman"/>
          <w:sz w:val="26"/>
          <w:szCs w:val="26"/>
        </w:rPr>
        <w:t xml:space="preserve">15.2. Đại diện liên lạc: Bên A: {o_47} – ĐT: {o_48} – Email: {o_49}; Bên B: {o_50} – ĐT: {o_51} – Email: {o_52}</w:t>
      </w:r>
    </w:p>
    <w:p>
      <w:pPr>
        <w:spacing w:after="80" w:before="40" w:line="288"/>
        <w:jc w:val="both"/>
      </w:pPr>
      <w:r>
        <w:rPr>
          <w:rFonts w:ascii="Times New Roman" w:cs="Times New Roman" w:eastAsia="Times New Roman" w:hAnsi="Times New Roman"/>
          <w:sz w:val="26"/>
          <w:szCs w:val="26"/>
        </w:rPr>
        <w:t xml:space="preserve">15.3. Tin nhắn qua ứng dụng (Zalo, {o_53}) chỉ dùng để trao đổi điều hành, không thay thế văn bản đối với các nội dung về giá, khối lượng phát sinh, tiến độ và chấm dứt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16. Bàn giao, quyết toán và thanh lý</w:t>
      </w:r>
    </w:p>
    <w:p>
      <w:pPr>
        <w:spacing w:after="80" w:before="40" w:line="288"/>
        <w:jc w:val="both"/>
      </w:pPr>
      <w:r>
        <w:rPr>
          <w:rFonts w:ascii="Times New Roman" w:cs="Times New Roman" w:eastAsia="Times New Roman" w:hAnsi="Times New Roman"/>
          <w:sz w:val="26"/>
          <w:szCs w:val="26"/>
        </w:rPr>
        <w:t xml:space="preserve">16.1. Khi hoàn thành, hai bên kiểm tra và ký biên bản bàn giao kèm danh mục lỗi cần khắc phục (nếu có); lỗi nhỏ không ảnh hưởng sử dụng không là lý do để từ chối bàn giao.</w:t>
      </w:r>
    </w:p>
    <w:p>
      <w:pPr>
        <w:spacing w:after="80" w:before="40" w:line="288"/>
        <w:jc w:val="both"/>
      </w:pPr>
      <w:r>
        <w:rPr>
          <w:rFonts w:ascii="Times New Roman" w:cs="Times New Roman" w:eastAsia="Times New Roman" w:hAnsi="Times New Roman"/>
          <w:sz w:val="26"/>
          <w:szCs w:val="26"/>
        </w:rPr>
        <w:t xml:space="preserve">16.2. Bên B bàn giao: chìa khóa, bản vẽ hoàn công điện nước (sơ đồ đường ống, dây), phiếu bảo hành thiết bị, hướng dẫn sử dụng.</w:t>
      </w:r>
    </w:p>
    <w:p>
      <w:pPr>
        <w:spacing w:after="80" w:before="40" w:line="288"/>
        <w:jc w:val="both"/>
      </w:pPr>
      <w:r>
        <w:rPr>
          <w:rFonts w:ascii="Times New Roman" w:cs="Times New Roman" w:eastAsia="Times New Roman" w:hAnsi="Times New Roman"/>
          <w:sz w:val="26"/>
          <w:szCs w:val="26"/>
        </w:rPr>
        <w:t xml:space="preserve">16.3. Trong vòng {o_54} ngày kể từ ngày bàn giao, hai bên lập bảng quyết toán (giá hợp đồng ± chênh lệch vật tư ± phát sinh) và thanh toán đợt 8. Hợp đồng được thanh lý sau khi Bên A hoàn trả tiền bảo hành.</w:t>
      </w:r>
    </w:p>
    <w:p>
      <w:pPr>
        <w:pStyle w:val="Heading2"/>
        <w:keepNext/>
        <w:spacing w:after="80" w:before="200" w:line="288"/>
        <w:jc w:val="both"/>
      </w:pPr>
      <w:r>
        <w:rPr>
          <w:rFonts w:ascii="Times New Roman" w:cs="Times New Roman" w:eastAsia="Times New Roman" w:hAnsi="Times New Roman"/>
          <w:b/>
          <w:bCs/>
          <w:sz w:val="26"/>
          <w:szCs w:val="26"/>
        </w:rPr>
        <w:t xml:space="preserve">Điều 17. Hiệu lực và điều khoản thi hành</w:t>
      </w:r>
    </w:p>
    <w:p>
      <w:pPr>
        <w:spacing w:after="80" w:before="40" w:line="288"/>
        <w:jc w:val="both"/>
      </w:pPr>
      <w:r>
        <w:rPr>
          <w:rFonts w:ascii="Times New Roman" w:cs="Times New Roman" w:eastAsia="Times New Roman" w:hAnsi="Times New Roman"/>
          <w:sz w:val="26"/>
          <w:szCs w:val="26"/>
        </w:rPr>
        <w:t xml:space="preserve">17.1. Hợp đồng có hiệu lực kể từ {c_2}.</w:t>
      </w:r>
    </w:p>
    <w:p>
      <w:pPr>
        <w:spacing w:after="80" w:before="40" w:line="288"/>
        <w:jc w:val="both"/>
      </w:pPr>
      <w:r>
        <w:rPr>
          <w:rFonts w:ascii="Times New Roman" w:cs="Times New Roman" w:eastAsia="Times New Roman" w:hAnsi="Times New Roman"/>
          <w:sz w:val="26"/>
          <w:szCs w:val="26"/>
        </w:rPr>
        <w:t xml:space="preserve">17.2.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17.3. Hợp đồng được lập thành 02 bản tiếng Việt có giá trị pháp lý như nhau, mỗi bên giữ 01 bản.</w:t>
      </w:r>
    </w:p>
    <w:p>
      <w:pPr>
        <w:spacing w:after="80" w:before="40" w:line="288"/>
        <w:jc w:val="both"/>
      </w:pPr>
      <w:r>
        <w:rPr>
          <w:rFonts w:ascii="Times New Roman" w:cs="Times New Roman" w:eastAsia="Times New Roman" w:hAnsi="Times New Roman"/>
          <w:b/>
          <w:bCs/>
          <w:sz w:val="26"/>
          <w:szCs w:val="26"/>
        </w:rPr>
        <w:t xml:space="preserve">Phụ lục kèm theo:</w:t>
      </w:r>
      <w:r>
        <w:rPr>
          <w:rFonts w:ascii="Times New Roman" w:cs="Times New Roman" w:eastAsia="Times New Roman" w:hAnsi="Times New Roman"/>
          <w:sz w:val="26"/>
          <w:szCs w:val="26"/>
        </w:rPr>
        <w:t xml:space="preserve"> Phụ lục 01 – Bảng chủng loại vật tư theo gói; Phụ lục 02 – Bảng tính diện tích và giá trị hợp đồng; Phụ lục 03 – Tiến độ thi công.</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spacing w:after="80" w:before="40" w:line="288"/>
        <w:jc w:val="center"/>
      </w:pPr>
      <w:r>
        <w:rPr>
          <w:rFonts w:ascii="Times New Roman" w:cs="Times New Roman" w:eastAsia="Times New Roman" w:hAnsi="Times New Roman"/>
          <w:b/>
          <w:bCs/>
          <w:sz w:val="26"/>
          <w:szCs w:val="26"/>
        </w:rPr>
        <w:t xml:space="preserve">PHỤ LỤC 01 – BẢNG CHỦNG LOẠI VẬT TƯ THEO GÓI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34"/>
        <w:gridCol w:w="2086"/>
        <w:gridCol w:w="2086"/>
        <w:gridCol w:w="2086"/>
        <w:gridCol w:w="2179"/>
      </w:tblGrid>
      <w:tr>
        <w:trPr>
          <w:tblHeader/>
        </w:trPr>
        <w:tc>
          <w:tcPr>
            <w:tcW w:type="dxa" w:w="63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08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Vật tư</w:t>
            </w:r>
          </w:p>
        </w:tc>
        <w:tc>
          <w:tcPr>
            <w:tcW w:type="dxa" w:w="208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Gói Cơ bản</w:t>
            </w:r>
          </w:p>
        </w:tc>
        <w:tc>
          <w:tcPr>
            <w:tcW w:type="dxa" w:w="208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Gói Khá</w:t>
            </w:r>
          </w:p>
        </w:tc>
        <w:tc>
          <w:tcPr>
            <w:tcW w:type="dxa" w:w="217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Gói Cao cấp</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A</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PHẦN THÔ</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Thép</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{o_55} (VD: Hòa Phát/Việt Nhật)</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{o_56}</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{o_57}</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Xi măng</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{o_58}</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{o_59}</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{o_60}</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Bê tông</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Thương phẩm mác {o_61}</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Thương phẩm mác {o_62}</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Thương phẩm mác {o_63}</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Gạch xây</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{o_64}</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{o_65}</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{o_66}</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Dây điện, ống nước</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{o_67}</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{o_68}</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{o_69}</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6</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Chống thấm</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{o_70}</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{o_71}</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{o_72}</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PHẦN HOÀN THIỆN</w:t>
            </w:r>
            <w:r>
              <w:rPr>
                <w:rFonts w:ascii="Times New Roman" w:cs="Times New Roman" w:eastAsia="Times New Roman" w:hAnsi="Times New Roman"/>
                <w:sz w:val="24"/>
                <w:szCs w:val="24"/>
              </w:rPr>
              <w:t xml:space="preserve"> (ghi đơn giá tạm tính)</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7</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Gạch lát nền</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{o_73} đ/m²</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{o_74} đ/m²</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{o_75} đ/m²</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8</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Gạch ốp vệ sinh</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{o_76} đ/m²</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{o_77} đ/m²</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{o_78} đ/m²</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9</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Sơn nội, ngoại thất</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{o_79}</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{o_80}</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{o_81}</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10</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Trần thạch cao</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{o_82} đ/m²</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{o_83} đ/m²</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{o_84} đ/m²</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11</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Cửa chính, cửa phòng</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{o_85} đ/bộ</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{o_86} đ/bộ</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{o_87} đ/bộ</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12</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Cửa sổ, vách kính</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{o_88} đ/m²</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{o_89} đ/m²</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{o_90} đ/m²</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13</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Thiết bị vệ sinh (bộ/phòng)</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{o_91} đ/bộ</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{o_92} đ/bộ</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{o_93} đ/bộ</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14</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Công tắc, ổ cắm, đèn</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{o_94}</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{o_95}</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{o_96}</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15</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Đá cầu thang, mặt tiền</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{o_97} đ/m²</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{o_98} đ/m²</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{o_99} đ/m²</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16</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Lan can, tay vịn</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{o_100} đ/md</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{o_101} đ/md</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{o_102} đ/md</w:t>
            </w:r>
          </w:p>
        </w:tc>
      </w:tr>
      <w:tr>
        <w:trPr>
          <w:tblHeader w:val="off"/>
        </w:trPr>
        <w:tc>
          <w:tcPr>
            <w:tcW w:type="dxa" w:w="6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Đơn giá trọn gói/m² sàn</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{o_103} đ</w:t>
            </w:r>
          </w:p>
        </w:tc>
        <w:tc>
          <w:tcPr>
            <w:tcW w:type="dxa" w:w="208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{o_104} đ</w:t>
            </w:r>
          </w:p>
        </w:tc>
        <w:tc>
          <w:tcPr>
            <w:tcW w:type="dxa" w:w="217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{o_105} đ</w:t>
            </w:r>
          </w:p>
        </w:tc>
      </w:tr>
    </w:tbl>
    <w:p>
      <w:pPr>
        <w:spacing w:after="60" w:before="40" w:line="288"/>
        <w:jc w:val="both"/>
      </w:pPr>
      <w:r>
        <w:rPr>
          <w:rFonts w:ascii="Times New Roman" w:cs="Times New Roman" w:eastAsia="Times New Roman" w:hAnsi="Times New Roman"/>
          <w:sz w:val="26"/>
          <w:szCs w:val="26"/>
        </w:rPr>
        <w:t xml:space="preserve"/>
      </w:r>
    </w:p>
    <w:p>
      <w:r>
        <w:br w:type="page"/>
      </w:r>
    </w:p>
    <w:p>
      <w:pPr>
        <w:spacing w:after="80" w:before="40" w:line="288"/>
        <w:jc w:val="center"/>
      </w:pPr>
      <w:r>
        <w:rPr>
          <w:rFonts w:ascii="Times New Roman" w:cs="Times New Roman" w:eastAsia="Times New Roman" w:hAnsi="Times New Roman"/>
          <w:b/>
          <w:bCs/>
          <w:sz w:val="26"/>
          <w:szCs w:val="26"/>
        </w:rPr>
        <w:t xml:space="preserve">PHỤ LỤC 02 – BẢNG TÍNH DIỆN TÍCH VÀ GIÁ TRỊ HỢP ĐỒNG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3628"/>
        <w:gridCol w:w="1269"/>
        <w:gridCol w:w="1269"/>
        <w:gridCol w:w="2361"/>
      </w:tblGrid>
      <w:tr>
        <w:trPr>
          <w:tblHeader/>
        </w:trPr>
        <w:tc>
          <w:tcPr>
            <w:tcW w:type="dxa" w:w="54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362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Hạng mục</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Diện tích (m²)</w:t>
            </w:r>
          </w:p>
        </w:tc>
        <w:tc>
          <w:tcPr>
            <w:tcW w:type="dxa" w:w="1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Hệ số</w:t>
            </w:r>
          </w:p>
        </w:tc>
        <w:tc>
          <w:tcPr>
            <w:tcW w:type="dxa" w:w="236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Diện tích tính giá (m²)</w:t>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Móng (móng đơn/băng/cọc)</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{o_106}%</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Tầng 1</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100%</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Tầng 2 {o_107} tầng n</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100%</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Tum thang</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100%</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Sân thượng không mái</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50%</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6</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Mái (bê tông/ngói/tôn)</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{o_108}%</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7</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Sân trước, sân sau</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{o_109}%</w:t>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Tổng diện tích tính giá</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Đơn giá trọn gói (đ/m²)</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54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Giá trị hợp đồng</w:t>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6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NVO-HĐ-02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ONE (NVO) · NVO-HĐ-02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thiết kế và thi công trọn gói nhà ở</dc:title>
  <dc:creator>Nhà Việt Group</dc:creator>
  <cp:lastModifiedBy>Un-named</cp:lastModifiedBy>
  <cp:revision>1</cp:revision>
  <dcterms:created xsi:type="dcterms:W3CDTF">2026-10-21T09:23:12.835Z</dcterms:created>
  <dcterms:modified xsi:type="dcterms:W3CDTF">2026-10-21T09:23:12.835Z</dcterms:modified>
</cp:coreProperties>
</file>

<file path=docProps/custom.xml><?xml version="1.0" encoding="utf-8"?>
<Properties xmlns="http://schemas.openxmlformats.org/officeDocument/2006/custom-properties" xmlns:vt="http://schemas.openxmlformats.org/officeDocument/2006/docPropsVTypes"/>
</file>