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</w:pPr>
    </w:p>
    <w:p>
      <w:pPr>
        <w:spacing w:after="80"/>
      </w:pPr>
      <w:r>
        <w:rPr>
          <w:rFonts w:ascii="Calibri" w:cs="Calibri" w:eastAsia="Calibri" w:hAnsi="Calibri"/>
          <w:b/>
          <w:bCs/>
          <w:color w:val="1F5F4B"/>
          <w:sz w:val="22"/>
          <w:szCs w:val="22"/>
        </w:rPr>
        <w:t xml:space="preserve">NHÀ VIỆT GROUP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F2933"/>
          <w:sz w:val="40"/>
          <w:szCs w:val="40"/>
        </w:rPr>
        <w:t xml:space="preserve">Hướng dẫn sử dụng — Cho thuê giàn giáo</w:t>
      </w:r>
    </w:p>
    <w:p>
      <w:pPr>
        <w:spacing w:after="480"/>
      </w:pPr>
      <w:r>
        <w:rPr>
          <w:rFonts w:ascii="Calibri" w:cs="Calibri" w:eastAsia="Calibri" w:hAnsi="Calibri"/>
          <w:color w:val="52606D"/>
          <w:sz w:val="24"/>
          <w:szCs w:val="24"/>
        </w:rPr>
        <w:t xml:space="preserve">Hệ thống Phần mềm Quản trị Nhà Việt Group · Xưởng sản xuất – Cho thuê, Nhà Việt Steel</w:t>
      </w:r>
    </w:p>
    <w:tbl>
      <w:tblPr>
        <w:tblW w:type="dxa" w:w="9638"/>
        <w:tblBorders>
          <w:top w:val="single" w:color="C9D2CE" w:sz="4"/>
          <w:left w:val="single" w:color="C9D2CE" w:sz="4"/>
          <w:bottom w:val="single" w:color="C9D2CE" w:sz="4"/>
          <w:right w:val="single" w:color="C9D2CE" w:sz="4"/>
          <w:insideH w:val="single" w:color="C9D2CE" w:sz="4"/>
          <w:insideV w:val="single" w:color="C9D2CE" w:sz="4"/>
        </w:tblBorders>
      </w:tblPr>
      <w:tblGrid>
        <w:gridCol w:w="2410"/>
        <w:gridCol w:w="7228"/>
      </w:tblGrid>
      <w:tr>
        <w:trPr>
          <w:cantSplit/>
        </w:trPr>
        <w:tc>
          <w:tcPr>
            <w:tcW w:type="dxa" w:w="2410"/>
            <w:shd w:fill="EAF1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Áp dụng cho</w:t>
            </w:r>
          </w:p>
        </w:tc>
        <w:tc>
          <w:tcPr>
            <w:tcW w:type="dxa" w:w="7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Trưởng xưởng, nhân viên cho thuê (vai trò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Xưởng sản xuất – Cho thuê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) và Kho của Nhà Việt Steel</w:t>
            </w:r>
          </w:p>
        </w:tc>
      </w:tr>
      <w:tr>
        <w:trPr>
          <w:cantSplit/>
        </w:trPr>
        <w:tc>
          <w:tcPr>
            <w:tcW w:type="dxa" w:w="2410"/>
            <w:shd w:fill="EAF1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Thiết bị</w:t>
            </w:r>
          </w:p>
        </w:tc>
        <w:tc>
          <w:tcPr>
            <w:tcW w:type="dxa" w:w="7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Máy tính; điện thoại dùng được để xem hợp đồng và ghi nhận thu hồi tại bãi</w:t>
            </w:r>
          </w:p>
        </w:tc>
      </w:tr>
      <w:tr>
        <w:trPr>
          <w:cantSplit/>
        </w:trPr>
        <w:tc>
          <w:tcPr>
            <w:tcW w:type="dxa" w:w="2410"/>
            <w:shd w:fill="EAF1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Địa chỉ</w:t>
            </w:r>
          </w:p>
        </w:tc>
        <w:tc>
          <w:tcPr>
            <w:tcW w:type="dxa" w:w="7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https://nvg.tests99.workers.dev</w:t>
            </w:r>
          </w:p>
        </w:tc>
      </w:tr>
      <w:tr>
        <w:trPr>
          <w:cantSplit/>
        </w:trPr>
        <w:tc>
          <w:tcPr>
            <w:tcW w:type="dxa" w:w="2410"/>
            <w:shd w:fill="EAF1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Tài khoản demo</w:t>
            </w:r>
          </w:p>
        </w:tc>
        <w:tc>
          <w:tcPr>
            <w:tcW w:type="dxa" w:w="7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1F2933"/>
                <w:sz w:val="17"/>
                <w:szCs w:val="17"/>
              </w:rPr>
              <w:t xml:space="preserve">sanxuat.nvs@nhavietgroup.test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 — mật khẩu nhận riêng từ đầu mối dự án</w:t>
            </w:r>
          </w:p>
        </w:tc>
      </w:tr>
      <w:tr>
        <w:trPr>
          <w:cantSplit/>
        </w:trPr>
        <w:tc>
          <w:tcPr>
            <w:tcW w:type="dxa" w:w="2410"/>
            <w:shd w:fill="EAF1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Bản dùng cho buổi trình diễn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5F4B"/>
          <w:sz w:val="30"/>
          <w:szCs w:val="30"/>
        </w:rPr>
        <w:t xml:space="preserve">Mục lục</w:t>
      </w:r>
    </w:p>
    <w:p>
      <w:pPr>
        <w:spacing w:after="60" w:line="264"/>
        <w:ind w:left="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1. Xưởng làm gì trên hệ thống</w:t>
      </w:r>
    </w:p>
    <w:p>
      <w:pPr>
        <w:spacing w:after="60" w:line="264"/>
        <w:ind w:left="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2. Danh sách hợp đồng thuê</w:t>
      </w:r>
    </w:p>
    <w:p>
      <w:pPr>
        <w:spacing w:after="60" w:line="264"/>
        <w:ind w:left="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3. Lập hợp đồng thuê</w:t>
      </w:r>
    </w:p>
    <w:p>
      <w:pPr>
        <w:spacing w:after="60" w:line="264"/>
        <w:ind w:left="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4. Theo dõi một hợp đồng</w:t>
      </w:r>
    </w:p>
    <w:p>
      <w:pPr>
        <w:spacing w:after="60" w:line="264"/>
        <w:ind w:left="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5. Thu hồi giàn giáo — từng đợt</w:t>
      </w:r>
    </w:p>
    <w:p>
      <w:pPr>
        <w:spacing w:after="60" w:line="264"/>
        <w:ind w:left="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6. Sổ giàn giáo theo lô</w:t>
      </w:r>
    </w:p>
    <w:p>
      <w:pPr>
        <w:spacing w:after="60" w:line="264"/>
        <w:ind w:left="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7. Lệnh sản xuất</w:t>
      </w:r>
    </w:p>
    <w:p>
      <w:pPr>
        <w:spacing w:after="60" w:line="264"/>
        <w:ind w:left="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8. Phần chưa có trong bản demo</w:t>
      </w:r>
    </w:p>
    <w:p>
      <w:pPr>
        <w:spacing w:after="60" w:line="264"/>
        <w:ind w:left="0"/>
      </w:pPr>
      <w:r>
        <w:rPr>
          <w:rFonts w:ascii="Calibri" w:cs="Calibri" w:eastAsia="Calibri" w:hAnsi="Calibri"/>
          <w:b/>
          <w:bCs/>
          <w:color w:val="1F2933"/>
          <w:sz w:val="21"/>
          <w:szCs w:val="21"/>
        </w:rPr>
        <w:t xml:space="preserve">9. Câu hỏi thường gặp</w:t>
      </w:r>
    </w:p>
    <w:p>
      <w:r>
        <w:br w:type="page"/>
      </w:r>
    </w:p>
    <w:p>
      <w:pPr>
        <w:pBdr>
          <w:left w:val="single" w:color="1F5F4B" w:sz="12" w:space="10"/>
        </w:pBdr>
        <w:spacing w:after="160" w:before="120" w:line="276"/>
        <w:ind w:left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Hỏi «giàn giáo đang ở đâu, khách nào đang giữ bao nhiêu, trả về bao nhiêu hư hỏng» thì mở hệ thống, không lật sổ tay hay Excel. Lập hợp đồng là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xuất giáo khỏi kho ngay trong cùng một lần lưu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; thu hồi là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ghi từng đợt trả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— tiền thuê tính theo số ngày thuê thật của đợt đó, không tính tay.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5F4B"/>
          <w:sz w:val="30"/>
          <w:szCs w:val="30"/>
        </w:rPr>
        <w:t xml:space="preserve">1. Xưởng làm gì trên hệ thống</w:t>
      </w:r>
    </w:p>
    <w:tbl>
      <w:tblPr>
        <w:tblW w:type="dxa" w:w="9638"/>
        <w:tblBorders>
          <w:top w:val="single" w:color="C9D2CE" w:sz="4"/>
          <w:left w:val="single" w:color="C9D2CE" w:sz="4"/>
          <w:bottom w:val="single" w:color="C9D2CE" w:sz="4"/>
          <w:right w:val="single" w:color="C9D2CE" w:sz="4"/>
          <w:insideH w:val="single" w:color="C9D2CE" w:sz="4"/>
          <w:insideV w:val="single" w:color="C9D2CE" w:sz="4"/>
        </w:tblBorders>
      </w:tblPr>
      <w:tblGrid>
        <w:gridCol w:w="3458"/>
        <w:gridCol w:w="3346"/>
        <w:gridCol w:w="2834"/>
      </w:tblGrid>
      <w:tr>
        <w:trPr>
          <w:tblHeader/>
        </w:trPr>
        <w:tc>
          <w:tcPr>
            <w:tcW w:type="dxa" w:w="3458"/>
            <w:shd w:fill="EAF1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Việc</w:t>
            </w:r>
          </w:p>
        </w:tc>
        <w:tc>
          <w:tcPr>
            <w:tcW w:type="dxa" w:w="3346"/>
            <w:shd w:fill="EAF1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Màn hình</w:t>
            </w:r>
          </w:p>
        </w:tc>
        <w:tc>
          <w:tcPr>
            <w:tcW w:type="dxa" w:w="2834"/>
            <w:shd w:fill="EAF1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Khi nào</w:t>
            </w:r>
          </w:p>
        </w:tc>
      </w:tr>
      <w:tr>
        <w:trPr>
          <w:cantSplit/>
        </w:trPr>
        <w:tc>
          <w:tcPr>
            <w:tcW w:type="dxa" w:w="34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Xem số hợp đồng đang cho thuê</w:t>
            </w:r>
          </w:p>
        </w:tc>
        <w:tc>
          <w:tcPr>
            <w:tcW w:type="dxa" w:w="33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Dashboard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 → thẻ Giàn giáo đang cho thuê</w:t>
            </w:r>
          </w:p>
        </w:tc>
        <w:tc>
          <w:tcPr>
            <w:tcW w:type="dxa" w:w="28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Mỗi sáng</w:t>
            </w:r>
          </w:p>
        </w:tc>
      </w:tr>
      <w:tr>
        <w:trPr>
          <w:cantSplit/>
        </w:trPr>
        <w:tc>
          <w:tcPr>
            <w:tcW w:type="dxa" w:w="34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Lập hợp đồng thuê và xuất giáo</w:t>
            </w:r>
          </w:p>
        </w:tc>
        <w:tc>
          <w:tcPr>
            <w:tcW w:type="dxa" w:w="33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Sản xuất &amp; Cho thuê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 → Cho thuê giàn giáo →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Lập hợp đồng thuê</w:t>
            </w:r>
          </w:p>
        </w:tc>
        <w:tc>
          <w:tcPr>
            <w:tcW w:type="dxa" w:w="28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Khi giao giáo cho khách</w:t>
            </w:r>
          </w:p>
        </w:tc>
      </w:tr>
      <w:tr>
        <w:trPr>
          <w:cantSplit/>
        </w:trPr>
        <w:tc>
          <w:tcPr>
            <w:tcW w:type="dxa" w:w="34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Theo dõi một hợp đồng: đã xuất, đã trả, còn ở khách</w:t>
            </w:r>
          </w:p>
        </w:tc>
        <w:tc>
          <w:tcPr>
            <w:tcW w:type="dxa" w:w="33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Chi tiết hợp đồng thuê</w:t>
            </w:r>
          </w:p>
        </w:tc>
        <w:tc>
          <w:tcPr>
            <w:tcW w:type="dxa" w:w="28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Khi khách hỏi, khi đối chiếu</w:t>
            </w:r>
          </w:p>
        </w:tc>
      </w:tr>
      <w:tr>
        <w:trPr>
          <w:cantSplit/>
        </w:trPr>
        <w:tc>
          <w:tcPr>
            <w:tcW w:type="dxa" w:w="34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Ghi nhận khách trả giáo (đạt, hư hỏng, mất)</w:t>
            </w:r>
          </w:p>
        </w:tc>
        <w:tc>
          <w:tcPr>
            <w:tcW w:type="dxa" w:w="33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Chi tiết hợp đồng →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Thu hồi giàn giáo</w:t>
            </w:r>
          </w:p>
        </w:tc>
        <w:tc>
          <w:tcPr>
            <w:tcW w:type="dxa" w:w="28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Mỗi đợt khách trả</w:t>
            </w:r>
          </w:p>
        </w:tc>
      </w:tr>
      <w:tr>
        <w:trPr>
          <w:cantSplit/>
        </w:trPr>
        <w:tc>
          <w:tcPr>
            <w:tcW w:type="dxa" w:w="345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Xem sổ giàn giáo theo lô và tình trạng</w:t>
            </w:r>
          </w:p>
        </w:tc>
        <w:tc>
          <w:tcPr>
            <w:tcW w:type="dxa" w:w="334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Kho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 → Giàn giáo</w:t>
            </w:r>
          </w:p>
        </w:tc>
        <w:tc>
          <w:tcPr>
            <w:tcW w:type="dxa" w:w="283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Khi cần biết còn bao nhiêu cho thuê được</w:t>
            </w:r>
          </w:p>
        </w:tc>
      </w:tr>
    </w:tbl>
    <w:p>
      <w:pPr>
        <w:spacing w:after="16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6191250" cy="3867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606D"/>
          <w:sz w:val="18"/>
          <w:szCs w:val="18"/>
        </w:rPr>
        <w:t xml:space="preserve">Hình 1 — Dashboard của Xưởng Nhà Việt Steel: 2 hợp đồng đang cho thuê.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5F4B"/>
          <w:sz w:val="30"/>
          <w:szCs w:val="30"/>
        </w:rPr>
        <w:t xml:space="preserve">2. Danh sách hợp đồng thuê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Sản xuất &amp; Cho thuê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Cho thuê giàn giáo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91250" cy="38671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606D"/>
          <w:sz w:val="18"/>
          <w:szCs w:val="18"/>
        </w:rPr>
        <w:t xml:space="preserve">Hình 2 — Hai hợp đồng đang cho thuê: Đông Đô và Thành An, tiền cọc, thời hạn.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Cột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Thời hạn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là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ngày dự kiến trả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 Quá ngày đó mà hợp đồng còn đang cho thuê thì hiện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Quá hạn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Trạng thái hợp đồng: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Đang cho thuê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Đã thu hồi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(khi mọi loại giáo đã trả hết).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5F4B"/>
          <w:sz w:val="30"/>
          <w:szCs w:val="30"/>
        </w:rPr>
        <w:t xml:space="preserve">3. Lập hợp đồng thuê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Lập hợp đồng thuê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mở biểu mẫu ngay trên danh sách: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91250" cy="38671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606D"/>
          <w:sz w:val="18"/>
          <w:szCs w:val="18"/>
        </w:rPr>
        <w:t xml:space="preserve">Hình 3 — Biểu mẫu lập hợp đồng thuê.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Khách thuê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— chọn từ danh mục khách hàng (dùng chung với Kinh doanh, không nhập lại).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Ngày bắt đầu thuê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Ngày dự kiến trả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Công trình nhận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(để trống nếu khách dùng ở nơi NVG không theo dõi) hoặc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Địa chỉ lắp đặt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Tiền đặt cọc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Giàn giáo cho thuê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— từng loại: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Loại giàn giáo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Số lượng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Đơn giá thuê / ngày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Thêm dòng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cho loại tiếp theo.</w:t>
      </w:r>
    </w:p>
    <w:p>
      <w:pPr>
        <w:pStyle w:val="ListParagraph"/>
        <w:numPr>
          <w:ilvl w:val="0"/>
          <w:numId w:val="3"/>
        </w:numPr>
        <w:spacing w:after="7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Xuất giàn giáo và lập hợp đồng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</w:t>
      </w:r>
    </w:p>
    <w:p>
      <w:pPr>
        <w:pBdr>
          <w:left w:val="single" w:color="1F5F4B" w:sz="12" w:space="10"/>
        </w:pBdr>
        <w:spacing w:after="160" w:before="120" w:line="276"/>
        <w:ind w:left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Bấm lưu là giáo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rời kho ngay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hệ thống lấy từ các lô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còn dùng được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tại kho và ghi lô đó sang «Khách đang thuê». Kho không đủ thì hệ thống báo còn bao nhiêu và không lập hợp đồng — hàng hỏng chờ sửa không bao giờ được xuất cho thuê.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5F4B"/>
          <w:sz w:val="30"/>
          <w:szCs w:val="30"/>
        </w:rPr>
        <w:t xml:space="preserve">4. Theo dõi một hợp đồng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Bấm vào hợp đồng để mở chi tiết: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91250" cy="38671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606D"/>
          <w:sz w:val="18"/>
          <w:szCs w:val="18"/>
        </w:rPr>
        <w:t xml:space="preserve">Hình 4 — Hợp đồng Đông Đô: đã trả một đợt, cột Còn ở khách cho biết khách còn giữ bao nhiêu.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Phần trên: khách thuê, công trình hoặc địa chỉ, ngày bắt đầu, ngày dự kiến trả,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số ngày đã thuê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tiền cọc,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tiền thuê đã chốt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của các đợt đã trả, tổng bồi thường.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Bảng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Giàn giáo trong hợp đồng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đã xuất, đơn giá/ngày, đã trả (đạt), hư hỏng, mất,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còn ở khách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bồi thường.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Tab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Lịch sử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: ai lập, ai thu hồi, lúc nào.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5F4B"/>
          <w:sz w:val="30"/>
          <w:szCs w:val="30"/>
        </w:rPr>
        <w:t xml:space="preserve">5. Thu hồi giàn giáo — từng đợt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Khách trả giáo (một phần hay toàn bộ):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Thu hồi giàn giáo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91250" cy="38671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606D"/>
          <w:sz w:val="18"/>
          <w:szCs w:val="18"/>
        </w:rPr>
        <w:t xml:space="preserve">Hình 5 — Thu hồi: mỗi loại giáo ghi riêng trả đạt, hư hỏng, mất, bồi thường.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Ngày trả thực tế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Mỗi loại giáo (màn hình ghi sẵn còn bao nhiêu chưa trả):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Trả đạt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Hư hỏng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Mất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Bồi thường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ghi chú hư hỏng/mất. Loại nào đợt này không trả thì để 0.</w:t>
      </w:r>
    </w:p>
    <w:p>
      <w:pPr>
        <w:pStyle w:val="ListParagraph"/>
        <w:numPr>
          <w:ilvl w:val="0"/>
          <w:numId w:val="4"/>
        </w:numPr>
        <w:spacing w:after="7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Xác nhận thu hồi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Sau khi lưu: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Tiền thuê của đợt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= số lượng trả × đơn giá/ngày × số ngày từ ngày bắt đầu thuê tới ngày trả của đợt. Hàng trả sớm không phải trả tiền cho quãng sau khi đã về kho.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Phần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đạt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về kho, gộp vào lô còn dùng được — cho thuê lại được ngay.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Phần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hư hỏng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về kho nhưng vào lô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Hỏng, chờ sửa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kèm biên bản — không tính vào lượng cho thuê.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Phần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mất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không về kho; chỉ còn biên bản để truy trách nhiệm và bồi thường.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Trả hết mọi loại → hợp đồng chuyển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Đã thu hồi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.</w:t>
      </w:r>
    </w:p>
    <w:p>
      <w:pPr>
        <w:pBdr>
          <w:left w:val="single" w:color="1F5F4B" w:sz="12" w:space="10"/>
        </w:pBdr>
        <w:spacing w:after="160" w:before="120" w:line="276"/>
        <w:ind w:left="2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Không trả được nhiều hơn số còn ở khách, và mỗi dòng trả phải có ít nhất một số lớn hơn 0.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5F4B"/>
          <w:sz w:val="30"/>
          <w:szCs w:val="30"/>
        </w:rPr>
        <w:t xml:space="preserve">6. Sổ giàn giáo theo lô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Kho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Giàn giáo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(vai trò Xưởng chỉ xem; Kho lập biên bản sửa chữa, mất mát, thanh lý — xem hướng dẫn Kho).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91250" cy="38671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606D"/>
          <w:sz w:val="18"/>
          <w:szCs w:val="18"/>
        </w:rPr>
        <w:t xml:space="preserve">Hình 6 — Sổ giàn giáo: cho thuê được 2.596, hỏng chờ sửa 4; từng lô đang ở kho hay ở khách nào.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5F4B"/>
          <w:sz w:val="30"/>
          <w:szCs w:val="30"/>
        </w:rPr>
        <w:t xml:space="preserve">7. Lệnh sản xuất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Sản xuất &amp; Cho thuê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→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Lệnh sản xuất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mới ở mức khung: tên sản phẩm, số lượng, trạng thái. Định mức tiêu hao, kế hoạch theo tổ, cấp vật tư theo định mức, công đoạn, chất lượng và giá thành </w:t>
      </w: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chưa có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 — chờ Xưởng cung cấp bộ định mức và tỷ lệ lỗi thực tế; hệ thống không tự ước lượng các con số đó.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191250" cy="38671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2606D"/>
          <w:sz w:val="18"/>
          <w:szCs w:val="18"/>
        </w:rPr>
        <w:t xml:space="preserve">Hình 7 — Lệnh sản xuất — bản demo chưa có lệnh nào.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5F4B"/>
          <w:sz w:val="30"/>
          <w:szCs w:val="30"/>
        </w:rPr>
        <w:t xml:space="preserve">8. Phần chưa có trong bản demo</w:t>
      </w:r>
    </w:p>
    <w:p>
      <w:pPr>
        <w:spacing w:after="140" w:line="276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Nói rõ để không ai tưởng đã làm: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/>
          <w:bCs/>
          <w:i w:val="false"/>
          <w:iCs w:val="false"/>
          <w:color w:val="1F2933"/>
          <w:sz w:val="21"/>
          <w:szCs w:val="21"/>
        </w:rPr>
        <w:t xml:space="preserve">Tiền thuê vào báo cáo doanh thu khi hợp đồng thu hồi hết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, ghi vào ngày trả cuối. Đợt trả một phần đã chốt tiền trên hợp đồng nhưng chưa hiện trên biểu đồ doanh thu của Tổng quan tài chính.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Giao thêm giáo giữa kỳ vào hợp đồng đang thuê (hiện lập hợp đồng mới).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Biên bản thu hồi có chữ ký hai bên; đối soát và tất toán chuyển sang Kế toán.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Giá thuê nội bộ giữa các pháp nhân và loại trừ khỏi báo cáo hợp nhất.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3"/>
          <w:sz w:val="21"/>
          <w:szCs w:val="21"/>
        </w:rPr>
        <w:t xml:space="preserve">Xem sổ giàn giáo tại một ngày trong quá khứ.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1F5F4B"/>
          <w:sz w:val="30"/>
          <w:szCs w:val="30"/>
        </w:rPr>
        <w:t xml:space="preserve">9. Câu hỏi thường gặp</w:t>
      </w:r>
    </w:p>
    <w:tbl>
      <w:tblPr>
        <w:tblW w:type="dxa" w:w="9638"/>
        <w:tblBorders>
          <w:top w:val="single" w:color="C9D2CE" w:sz="4"/>
          <w:left w:val="single" w:color="C9D2CE" w:sz="4"/>
          <w:bottom w:val="single" w:color="C9D2CE" w:sz="4"/>
          <w:right w:val="single" w:color="C9D2CE" w:sz="4"/>
          <w:insideH w:val="single" w:color="C9D2CE" w:sz="4"/>
          <w:insideV w:val="single" w:color="C9D2CE" w:sz="4"/>
        </w:tblBorders>
      </w:tblPr>
      <w:tblGrid>
        <w:gridCol w:w="4036"/>
        <w:gridCol w:w="5602"/>
      </w:tblGrid>
      <w:tr>
        <w:trPr>
          <w:tblHeader/>
        </w:trPr>
        <w:tc>
          <w:tcPr>
            <w:tcW w:type="dxa" w:w="4036"/>
            <w:shd w:fill="EAF1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Câu hỏi</w:t>
            </w:r>
          </w:p>
        </w:tc>
        <w:tc>
          <w:tcPr>
            <w:tcW w:type="dxa" w:w="5602"/>
            <w:shd w:fill="EAF1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Trả lời</w:t>
            </w:r>
          </w:p>
        </w:tc>
      </w:tr>
      <w:tr>
        <w:trPr>
          <w:cantSplit/>
        </w:trPr>
        <w:tc>
          <w:tcPr>
            <w:tcW w:type="dxa" w:w="40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Không lập được hợp đồng vì «Kho chỉ còn …»?</w:t>
            </w:r>
          </w:p>
        </w:tc>
        <w:tc>
          <w:tcPr>
            <w:tcW w:type="dxa" w:w="5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Lô còn dùng được tại kho không đủ. Hàng hỏng chờ sửa không xuất được; xem Kho → Giàn giáo.</w:t>
            </w:r>
          </w:p>
        </w:tc>
      </w:tr>
      <w:tr>
        <w:trPr>
          <w:cantSplit/>
        </w:trPr>
        <w:tc>
          <w:tcPr>
            <w:tcW w:type="dxa" w:w="40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Khách trả làm nhiều lần?</w:t>
            </w:r>
          </w:p>
        </w:tc>
        <w:tc>
          <w:tcPr>
            <w:tcW w:type="dxa" w:w="5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Mỗi lần trả là một đợt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Thu hồi giàn giáo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; tiền thuê tính riêng theo ngày trả của từng đợt.</w:t>
            </w:r>
          </w:p>
        </w:tc>
      </w:tr>
      <w:tr>
        <w:trPr>
          <w:cantSplit/>
        </w:trPr>
        <w:tc>
          <w:tcPr>
            <w:tcW w:type="dxa" w:w="40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Sửa được hợp đồng sau khi lập không?</w:t>
            </w:r>
          </w:p>
        </w:tc>
        <w:tc>
          <w:tcPr>
            <w:tcW w:type="dxa" w:w="5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Không sửa số lượng đã xuất. Xuất thừa thì ghi thu hồi phần thừa (tính tối thiểu 1 ngày thuê).</w:t>
            </w:r>
          </w:p>
        </w:tc>
      </w:tr>
      <w:tr>
        <w:trPr>
          <w:cantSplit/>
        </w:trPr>
        <w:tc>
          <w:tcPr>
            <w:tcW w:type="dxa" w:w="40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Giáo khách làm hỏng thì sao?</w:t>
            </w:r>
          </w:p>
        </w:tc>
        <w:tc>
          <w:tcPr>
            <w:tcW w:type="dxa" w:w="5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Ghi ở ô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2933"/>
                <w:sz w:val="19"/>
                <w:szCs w:val="19"/>
              </w:rPr>
              <w:t xml:space="preserve">Hư hỏng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 kèm bồi thường; giáo về kho vào lô Hỏng, chờ sửa, có biên bản.</w:t>
            </w:r>
          </w:p>
        </w:tc>
      </w:tr>
      <w:tr>
        <w:trPr>
          <w:cantSplit/>
        </w:trPr>
        <w:tc>
          <w:tcPr>
            <w:tcW w:type="dxa" w:w="40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Vì sao tiền thuê của Đông Đô chưa lên biểu đồ doanh thu?</w:t>
            </w:r>
          </w:p>
        </w:tc>
        <w:tc>
          <w:tcPr>
            <w:tcW w:type="dxa" w:w="5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F2933"/>
                <w:sz w:val="19"/>
                <w:szCs w:val="19"/>
              </w:rPr>
              <w:t xml:space="preserve">Hợp đồng chưa thu hồi hết — xem mục 8.</w:t>
            </w:r>
          </w:p>
        </w:tc>
      </w:tr>
    </w:tbl>
    <w:p>
      <w:pPr>
        <w:spacing w:after="160"/>
      </w:pPr>
    </w:p>
    <w:sectPr>
      <w:headerReference w:type="default" r:id="rId6"/>
      <w:footerReference w:type="default" r:id="rId7"/>
      <w:pgSz w:w="11906" w:h="16838" w:orient="portrait"/>
      <w:pgMar w:top="1152" w:right="1152" w:bottom="1152" w:left="1152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B8794"/>
        <w:sz w:val="16"/>
        <w:szCs w:val="16"/>
      </w:rPr>
      <w:t xml:space="preserve">Trang </w:t>
    </w:r>
    <w:r>
      <w:rPr>
        <w:rFonts w:ascii="Calibri" w:cs="Calibri" w:eastAsia="Calibri" w:hAnsi="Calibri"/>
        <w:color w:val="7B879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B8794"/>
        <w:sz w:val="16"/>
        <w:szCs w:val="16"/>
      </w:rPr>
      <w:t xml:space="preserve"> / </w:t>
    </w:r>
    <w:r>
      <w:rPr>
        <w:rFonts w:ascii="Calibri" w:cs="Calibri" w:eastAsia="Calibri" w:hAnsi="Calibri"/>
        <w:color w:val="7B879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2CE" w:sz="4" w:space="6"/>
      </w:pBdr>
      <w:spacing w:after="120"/>
      <w:jc w:val="right"/>
    </w:pPr>
    <w:r>
      <w:rPr>
        <w:rFonts w:ascii="Calibri" w:cs="Calibri" w:eastAsia="Calibri" w:hAnsi="Calibri"/>
        <w:color w:val="7B8794"/>
        <w:sz w:val="16"/>
        <w:szCs w:val="16"/>
      </w:rPr>
      <w:t xml:space="preserve">Hướng dẫn sử dụng — Cho thuê giàn giáo — Nhà Việt Group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20"/>
      </w:pPr>
      <w:rPr>
        <w:rFonts w:ascii="Calibri" w:cs="Calibri" w:eastAsia="Calibri" w:hAnsi="Calibri"/>
        <w:color w:val="1F2933"/>
        <w:sz w:val="21"/>
        <w:szCs w:val="21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20"/>
      </w:pPr>
      <w:rPr>
        <w:rFonts w:ascii="Calibri" w:cs="Calibri" w:eastAsia="Calibri" w:hAnsi="Calibri"/>
        <w:color w:val="1F2933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2a20ff9201bb6ea922021469edc2d768cd27425a.png"/><Relationship Id="rId10" Type="http://schemas.openxmlformats.org/officeDocument/2006/relationships/image" Target="media/cf6f2033d2627c2e766e5305835b7aebdfea1d45.png"/><Relationship Id="rId11" Type="http://schemas.openxmlformats.org/officeDocument/2006/relationships/image" Target="media/460d483453f0b58d859415036719a9dfcec60c3f.png"/><Relationship Id="rId12" Type="http://schemas.openxmlformats.org/officeDocument/2006/relationships/image" Target="media/2b93a80ec85a5700642a0d8ab2bc6216dcafabfb.png"/><Relationship Id="rId13" Type="http://schemas.openxmlformats.org/officeDocument/2006/relationships/image" Target="media/1ba02c0a50e6475c2eaae5a177b0a28232e8df3e.png"/><Relationship Id="rId14" Type="http://schemas.openxmlformats.org/officeDocument/2006/relationships/image" Target="media/64d92e29cc45879fc266084e65cd025c6c0664bb.png"/><Relationship Id="rId15" Type="http://schemas.openxmlformats.org/officeDocument/2006/relationships/image" Target="media/cafbf2627a882cf3a964e44d36fc9321c8a08bde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 — Cho thuê giàn giáo — Nhà Việt Group</dc:title>
  <dc:creator>Nhà Việt Group</dc:creator>
  <dc:description>Hướng dẫn sử dụng — Cho thuê giàn giáo</dc:description>
  <cp:lastModifiedBy>Un-named</cp:lastModifiedBy>
  <cp:revision>1</cp:revision>
  <dcterms:created xsi:type="dcterms:W3CDTF">2026-09-30T16:18:08.744Z</dcterms:created>
  <dcterms:modified xsi:type="dcterms:W3CDTF">2026-09-30T16:18:08.745Z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