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TỔNG THẦU THI CÔNG XÂY DỰNG</w:t>
      </w:r>
    </w:p>
    <w:p>
      <w:pPr>
        <w:spacing w:after="160" w:before="0" w:line="288"/>
        <w:jc w:val="center"/>
      </w:pPr>
      <w:r>
        <w:rPr>
          <w:rFonts w:ascii="Times New Roman" w:cs="Times New Roman" w:eastAsia="Times New Roman" w:hAnsi="Times New Roman"/>
          <w:i/>
          <w:iCs/>
          <w:sz w:val="26"/>
          <w:szCs w:val="26"/>
        </w:rPr>
        <w:t xml:space="preserve">Dự án: {ten_hop_dong}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 ngày {o_2}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TỔNG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tổng thầu</w:t>
      </w:r>
    </w:p>
    <w:p>
      <w:pPr>
        <w:spacing w:after="80" w:before="40" w:line="288"/>
        <w:jc w:val="both"/>
      </w:pPr>
      <w:r>
        <w:rPr>
          <w:rFonts w:ascii="Times New Roman" w:cs="Times New Roman" w:eastAsia="Times New Roman" w:hAnsi="Times New Roman"/>
          <w:sz w:val="26"/>
          <w:szCs w:val="26"/>
        </w:rPr>
        <w:t xml:space="preserve">1.1. Bên B thực hiện toàn bộ công việc thi công xây dựng, lắp đặt công trình theo hồ sơ thiết kế được duyệt, gồm các gói: (a) xây dựng phần ngầm, kết cấu bê tông; (b) kết cấu thép, mái, bao che; (c) cơ điện (điện, cấp thoát nước, điều hòa thông gió); (d) phòng cháy chữa cháy; (e) hạ tầng, sân đường; (f) {o_7}</w:t>
      </w:r>
    </w:p>
    <w:p>
      <w:pPr>
        <w:spacing w:after="80" w:before="40" w:line="288"/>
        <w:jc w:val="both"/>
      </w:pPr>
      <w:r>
        <w:rPr>
          <w:rFonts w:ascii="Times New Roman" w:cs="Times New Roman" w:eastAsia="Times New Roman" w:hAnsi="Times New Roman"/>
          <w:sz w:val="26"/>
          <w:szCs w:val="26"/>
        </w:rPr>
        <w:t xml:space="preserve">1.2. Công việc do Bên B tự thực hiện: {o_8}; công việc giao nhà thầu phụ do Bên B lựa chọn: {o_9}; công việc giao </w:t>
      </w:r>
      <w:r>
        <w:rPr>
          <w:rFonts w:ascii="Times New Roman" w:cs="Times New Roman" w:eastAsia="Times New Roman" w:hAnsi="Times New Roman"/>
          <w:b/>
          <w:bCs/>
          <w:sz w:val="26"/>
          <w:szCs w:val="26"/>
        </w:rPr>
        <w:t xml:space="preserve">nhà thầu phụ chỉ định</w:t>
      </w:r>
      <w:r>
        <w:rPr>
          <w:rFonts w:ascii="Times New Roman" w:cs="Times New Roman" w:eastAsia="Times New Roman" w:hAnsi="Times New Roman"/>
          <w:sz w:val="26"/>
          <w:szCs w:val="26"/>
        </w:rPr>
        <w:t xml:space="preserve"> của Bên A: {o_10} (Phụ lục 03).</w:t>
      </w:r>
    </w:p>
    <w:p>
      <w:pPr>
        <w:spacing w:after="80" w:before="40" w:line="288"/>
        <w:jc w:val="both"/>
      </w:pPr>
      <w:r>
        <w:rPr>
          <w:rFonts w:ascii="Times New Roman" w:cs="Times New Roman" w:eastAsia="Times New Roman" w:hAnsi="Times New Roman"/>
          <w:sz w:val="26"/>
          <w:szCs w:val="26"/>
        </w:rPr>
        <w:t xml:space="preserve">1.3. Công việc do Bên A ký hợp đồng trực tiếp với nhà thầu khác (nhà thầu song song): {o_11} Bên B có trách nhiệm phối hợp mặt bằng, tiến độ, cung cấp dịch vụ công trường cho các nhà thầu này theo Điều 5.</w:t>
      </w:r>
    </w:p>
    <w:p>
      <w:pPr>
        <w:pStyle w:val="Heading2"/>
        <w:keepNext/>
        <w:spacing w:after="80" w:before="200" w:line="288"/>
        <w:jc w:val="both"/>
      </w:pPr>
      <w:r>
        <w:rPr>
          <w:rFonts w:ascii="Times New Roman" w:cs="Times New Roman" w:eastAsia="Times New Roman" w:hAnsi="Times New Roman"/>
          <w:b/>
          <w:bCs/>
          <w:sz w:val="26"/>
          <w:szCs w:val="26"/>
        </w:rPr>
        <w:t xml:space="preserve">Điều 2. Giá hợp đồng</w:t>
      </w:r>
    </w:p>
    <w:p>
      <w:pPr>
        <w:spacing w:after="80" w:before="40" w:line="288"/>
        <w:jc w:val="both"/>
      </w:pPr>
      <w:r>
        <w:rPr>
          <w:rFonts w:ascii="Times New Roman" w:cs="Times New Roman" w:eastAsia="Times New Roman" w:hAnsi="Times New Roman"/>
          <w:sz w:val="26"/>
          <w:szCs w:val="26"/>
        </w:rPr>
        <w:t xml:space="preserve">2.1. Giá hợp đồng: </w:t>
      </w:r>
      <w:r>
        <w:rPr>
          <w:rFonts w:ascii="Times New Roman" w:cs="Times New Roman" w:eastAsia="Times New Roman" w:hAnsi="Times New Roman"/>
          <w:b/>
          <w:bCs/>
          <w:sz w:val="26"/>
          <w:szCs w:val="26"/>
        </w:rPr>
        <w:t xml:space="preserve">{o_12} đồng</w:t>
      </w:r>
      <w:r>
        <w:rPr>
          <w:rFonts w:ascii="Times New Roman" w:cs="Times New Roman" w:eastAsia="Times New Roman" w:hAnsi="Times New Roman"/>
          <w:sz w:val="26"/>
          <w:szCs w:val="26"/>
        </w:rPr>
        <w:t xml:space="preserve">, {c_1} thuế GTGT, gồm: giá các gói tự thực hiện và thầu phụ do Bên B lựa chọn {o_13} đồng; giá tạm tính các gói nhà thầu phụ chỉ định {o_14} đồng; phí quản lý tổng thầu {o_15} đồng.</w:t>
      </w:r>
    </w:p>
    <w:p>
      <w:pPr>
        <w:spacing w:after="80" w:before="40" w:line="288"/>
        <w:jc w:val="both"/>
      </w:pPr>
      <w:r>
        <w:rPr>
          <w:rFonts w:ascii="Times New Roman" w:cs="Times New Roman" w:eastAsia="Times New Roman" w:hAnsi="Times New Roman"/>
          <w:sz w:val="26"/>
          <w:szCs w:val="26"/>
        </w:rPr>
        <w:t xml:space="preserve">2.2. Hình thức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Trọn gói cho phần Bên B tự thực hiện và thầu phụ Bên B lựa chọn; giá tạm tính cho gói thầu phụ chỉ định được quyết toán theo hợp đồng thầu phụ thực tế.</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Đơn giá cố định theo Bảng khối lượng (BOQ) cho toàn bộ hợp đồng.</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2.3. </w:t>
      </w:r>
      <w:r>
        <w:rPr>
          <w:rFonts w:ascii="Times New Roman" w:cs="Times New Roman" w:eastAsia="Times New Roman" w:hAnsi="Times New Roman"/>
          <w:b/>
          <w:bCs/>
          <w:sz w:val="26"/>
          <w:szCs w:val="26"/>
        </w:rPr>
        <w:t xml:space="preserve">Phí quản lý tổng thầu</w:t>
      </w:r>
      <w:r>
        <w:rPr>
          <w:rFonts w:ascii="Times New Roman" w:cs="Times New Roman" w:eastAsia="Times New Roman" w:hAnsi="Times New Roman"/>
          <w:sz w:val="26"/>
          <w:szCs w:val="26"/>
        </w:rPr>
        <w:t xml:space="preserve"> đối với nhà thầu phụ chỉ định và nhà thầu song song: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{o_16} % giá trị hợp đồng của nhà thầu phụ chỉ định (mặc định: 3% – 5%), cộng phí dịch vụ công trường {o_17} % đối với nhà thầu song song.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Khoán gọn {o_18} đồng.</w:t>
      </w:r>
    </w:p>
    <w:p>
      <w:pPr>
        <w:pBdr>
          <w:left w:val="single" w:color="4F81BD" w:sz="18" w:space="6"/>
        </w:pBdr>
        <w:shd w:fill="EAF1FB" w:color="auto" w:val="clear"/>
        <w:spacing w:after="40" w:before="20" w:line="288"/>
        <w:ind w:left="360"/>
        <w:jc w:val="both"/>
      </w:pPr>
      <w:r>
        <w:t xml:space="preserve">{/pa_2_b}</w:t>
      </w:r>
    </w:p>
    <w:p>
      <w:pPr>
        <w:pStyle w:val="Heading2"/>
        <w:keepNext/>
        <w:spacing w:after="80" w:before="200" w:line="288"/>
        <w:jc w:val="both"/>
      </w:pPr>
      <w:r>
        <w:rPr>
          <w:rFonts w:ascii="Times New Roman" w:cs="Times New Roman" w:eastAsia="Times New Roman" w:hAnsi="Times New Roman"/>
          <w:b/>
          <w:bCs/>
          <w:sz w:val="26"/>
          <w:szCs w:val="26"/>
        </w:rPr>
        <w:t xml:space="preserve">Điều 3. Tạm ứng, thanh toán, bảo lãnh, bảo hành, phạt</w:t>
      </w:r>
    </w:p>
    <w:p>
      <w:pPr>
        <w:spacing w:after="80" w:before="40" w:line="288"/>
        <w:jc w:val="both"/>
      </w:pPr>
      <w:r>
        <w:rPr>
          <w:rFonts w:ascii="Times New Roman" w:cs="Times New Roman" w:eastAsia="Times New Roman" w:hAnsi="Times New Roman"/>
          <w:sz w:val="26"/>
          <w:szCs w:val="26"/>
        </w:rPr>
        <w:t xml:space="preserve">3.1. Tạm ứng: {o_19} % giá hợp đồng sau khi Bên B nộp bảo lãnh tạm ứng; thu hồi hết khi lũy kế thanh toán đạt 80% giá hợp đồng.</w:t>
      </w:r>
    </w:p>
    <w:p>
      <w:pPr>
        <w:spacing w:after="80" w:before="40" w:line="288"/>
        <w:jc w:val="both"/>
      </w:pPr>
      <w:r>
        <w:rPr>
          <w:rFonts w:ascii="Times New Roman" w:cs="Times New Roman" w:eastAsia="Times New Roman" w:hAnsi="Times New Roman"/>
          <w:sz w:val="26"/>
          <w:szCs w:val="26"/>
        </w:rPr>
        <w:t xml:space="preserve">3.2. Thanh toán hằng tháng theo khối lượng hoàn thành được nghiệm thu: {o_20} % giá trị khối lượng, giữ lại {o_21} % chờ quyết toán; thời hạn thanh toán {o_22} ngày kể từ ngày nhận đủ hồ sơ hợp lệ.</w:t>
      </w:r>
    </w:p>
    <w:p>
      <w:pPr>
        <w:spacing w:after="80" w:before="40" w:line="288"/>
        <w:jc w:val="both"/>
      </w:pPr>
      <w:r>
        <w:rPr>
          <w:rFonts w:ascii="Times New Roman" w:cs="Times New Roman" w:eastAsia="Times New Roman" w:hAnsi="Times New Roman"/>
          <w:sz w:val="26"/>
          <w:szCs w:val="26"/>
        </w:rPr>
        <w:t xml:space="preserve">3.3. Bảo đảm thực hiện hợp đồng: {o_23} % giá hợp đồng (2% – 10%).</w:t>
      </w:r>
    </w:p>
    <w:p>
      <w:pPr>
        <w:spacing w:after="80" w:before="40" w:line="288"/>
        <w:jc w:val="both"/>
      </w:pPr>
      <w:r>
        <w:rPr>
          <w:rFonts w:ascii="Times New Roman" w:cs="Times New Roman" w:eastAsia="Times New Roman" w:hAnsi="Times New Roman"/>
          <w:sz w:val="26"/>
          <w:szCs w:val="26"/>
        </w:rPr>
        <w:t xml:space="preserve">3.4. Bảo hành: {o_24} tháng; mức bảo đảm bảo hành {o_25} % (3% hoặc 5%) bằng ☐ giữ lại tiền ☐ bảo lãnh.</w:t>
      </w:r>
    </w:p>
    <w:p>
      <w:pPr>
        <w:spacing w:after="80" w:before="40" w:line="288"/>
        <w:jc w:val="both"/>
      </w:pPr>
      <w:r>
        <w:rPr>
          <w:rFonts w:ascii="Times New Roman" w:cs="Times New Roman" w:eastAsia="Times New Roman" w:hAnsi="Times New Roman"/>
          <w:sz w:val="26"/>
          <w:szCs w:val="26"/>
        </w:rPr>
        <w:t xml:space="preserve">3.5. Phạt chậm tiến độ: {o_26} % giá trị phần bị chậm/ngày; tổng mức phạt tối đa {o_27} %.</w:t>
      </w:r>
    </w:p>
    <w:p>
      <w:pPr>
        <w:pStyle w:val="Heading2"/>
        <w:keepNext/>
        <w:spacing w:after="80" w:before="200" w:line="288"/>
        <w:jc w:val="both"/>
      </w:pPr>
      <w:r>
        <w:rPr>
          <w:rFonts w:ascii="Times New Roman" w:cs="Times New Roman" w:eastAsia="Times New Roman" w:hAnsi="Times New Roman"/>
          <w:b/>
          <w:bCs/>
          <w:sz w:val="26"/>
          <w:szCs w:val="26"/>
        </w:rPr>
        <w:t xml:space="preserve">Điều 4. Nhà thầu phụ</w:t>
      </w:r>
    </w:p>
    <w:p>
      <w:pPr>
        <w:spacing w:after="80" w:before="40" w:line="288"/>
        <w:jc w:val="both"/>
      </w:pPr>
      <w:r>
        <w:rPr>
          <w:rFonts w:ascii="Times New Roman" w:cs="Times New Roman" w:eastAsia="Times New Roman" w:hAnsi="Times New Roman"/>
          <w:sz w:val="26"/>
          <w:szCs w:val="26"/>
        </w:rPr>
        <w:t xml:space="preserve">4.1. Bên B được lựa chọn nhà thầu phụ cho các phần việc tại khoản 1.2; thông báo danh sách cho Bên A trước khi nhà thầu phụ vào công trường. Bên A có quyền từ chối nhà thầu phụ không đủ năng lực, có lý do bằng văn bản.</w:t>
      </w:r>
    </w:p>
    <w:p>
      <w:pPr>
        <w:spacing w:after="80" w:before="40" w:line="288"/>
        <w:jc w:val="both"/>
      </w:pPr>
      <w:r>
        <w:rPr>
          <w:rFonts w:ascii="Times New Roman" w:cs="Times New Roman" w:eastAsia="Times New Roman" w:hAnsi="Times New Roman"/>
          <w:sz w:val="26"/>
          <w:szCs w:val="26"/>
        </w:rPr>
        <w:t xml:space="preserve">4.2. Nhà thầu phụ chỉ định: Bên A đề xuất, Bên B ký hợp đồng thầu phụ và quản lý. Bên B có quyền từ chối nhà thầu phụ chỉ định nếu có căn cứ hợp lý (năng lực tài chính, kinh nghiệm, không chấp nhận điều khoản tương ứng với hợp đồng này).</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chịu trách nhiệm toàn bộ về tiến độ, chất lượng của nhà thầu phụ chỉ định như nhà thầu phụ của mình.</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chỉ chịu trách nhiệm điều phối; rủi ro do năng lực, tài chính của nhà thầu phụ chỉ định thuộc về Bên A, trừ khi do lỗi quản lý của Bên B.</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4.3. Bên B thanh toán cho nhà thầu phụ trong vòng {o_28} ngày kể từ ngày nhận được tiền tương ứng từ Bên A. Bên A có quyền yêu cầu Bên B chứng minh đã thanh toán cho nhà thầu phụ chỉ định.</w:t>
      </w:r>
    </w:p>
    <w:p>
      <w:pPr>
        <w:pStyle w:val="Heading2"/>
        <w:keepNext/>
        <w:spacing w:after="80" w:before="200" w:line="288"/>
        <w:jc w:val="both"/>
      </w:pPr>
      <w:r>
        <w:rPr>
          <w:rFonts w:ascii="Times New Roman" w:cs="Times New Roman" w:eastAsia="Times New Roman" w:hAnsi="Times New Roman"/>
          <w:b/>
          <w:bCs/>
          <w:sz w:val="26"/>
          <w:szCs w:val="26"/>
        </w:rPr>
        <w:t xml:space="preserve">Điều 5. Điều phối công trường</w:t>
      </w:r>
    </w:p>
    <w:p>
      <w:pPr>
        <w:spacing w:after="80" w:before="40" w:line="288"/>
        <w:jc w:val="both"/>
      </w:pPr>
      <w:r>
        <w:rPr>
          <w:rFonts w:ascii="Times New Roman" w:cs="Times New Roman" w:eastAsia="Times New Roman" w:hAnsi="Times New Roman"/>
          <w:sz w:val="26"/>
          <w:szCs w:val="26"/>
        </w:rPr>
        <w:t xml:space="preserve">5.1. Bên B là đầu mối duy nhất quản lý công trường: tổ chức tổng mặt bằng, lối đi, kho bãi, điện nước thi công, bảo vệ, vệ sinh chung, an toàn lao động chung.</w:t>
      </w:r>
    </w:p>
    <w:p>
      <w:pPr>
        <w:spacing w:after="80" w:before="40" w:line="288"/>
        <w:jc w:val="both"/>
      </w:pPr>
      <w:r>
        <w:rPr>
          <w:rFonts w:ascii="Times New Roman" w:cs="Times New Roman" w:eastAsia="Times New Roman" w:hAnsi="Times New Roman"/>
          <w:sz w:val="26"/>
          <w:szCs w:val="26"/>
        </w:rPr>
        <w:t xml:space="preserve">5.2. Bên B lập và cập nhật </w:t>
      </w:r>
      <w:r>
        <w:rPr>
          <w:rFonts w:ascii="Times New Roman" w:cs="Times New Roman" w:eastAsia="Times New Roman" w:hAnsi="Times New Roman"/>
          <w:b/>
          <w:bCs/>
          <w:sz w:val="26"/>
          <w:szCs w:val="26"/>
        </w:rPr>
        <w:t xml:space="preserve">tiến độ tổng thể</w:t>
      </w:r>
      <w:r>
        <w:rPr>
          <w:rFonts w:ascii="Times New Roman" w:cs="Times New Roman" w:eastAsia="Times New Roman" w:hAnsi="Times New Roman"/>
          <w:sz w:val="26"/>
          <w:szCs w:val="26"/>
        </w:rPr>
        <w:t xml:space="preserve"> tích hợp tiến độ các nhà thầu phụ và nhà thầu song song; tổ chức họp giao ban công trường hằng tuần, lập biên bản gửi Bên A.</w:t>
      </w:r>
    </w:p>
    <w:p>
      <w:pPr>
        <w:spacing w:after="80" w:before="40" w:line="288"/>
        <w:jc w:val="both"/>
      </w:pPr>
      <w:r>
        <w:rPr>
          <w:rFonts w:ascii="Times New Roman" w:cs="Times New Roman" w:eastAsia="Times New Roman" w:hAnsi="Times New Roman"/>
          <w:sz w:val="26"/>
          <w:szCs w:val="26"/>
        </w:rPr>
        <w:t xml:space="preserve">5.3. Bên B cung cấp cho nhà thầu phụ chỉ định và nhà thầu song song: ☐ giàn giáo chung ☐ cẩu tháp/vận thăng theo lịch ☐ điện nước thi công ☐ kho tạm ☐ khác: {o_29}</w:t>
      </w:r>
    </w:p>
    <w:p>
      <w:pPr>
        <w:spacing w:after="80" w:before="40" w:line="288"/>
        <w:jc w:val="both"/>
      </w:pPr>
      <w:r>
        <w:rPr>
          <w:rFonts w:ascii="Times New Roman" w:cs="Times New Roman" w:eastAsia="Times New Roman" w:hAnsi="Times New Roman"/>
          <w:sz w:val="26"/>
          <w:szCs w:val="26"/>
        </w:rPr>
        <w:t xml:space="preserve">5.4. Bên B tổng hợp hồ sơ quản lý chất lượng, hoàn công của toàn bộ công trình, kể cả của nhà thầu phụ.</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và nghĩa vụ của Bên A</w:t>
      </w:r>
    </w:p>
    <w:p>
      <w:pPr>
        <w:spacing w:after="80" w:before="40" w:line="288"/>
        <w:jc w:val="both"/>
      </w:pPr>
      <w:r>
        <w:rPr>
          <w:rFonts w:ascii="Times New Roman" w:cs="Times New Roman" w:eastAsia="Times New Roman" w:hAnsi="Times New Roman"/>
          <w:sz w:val="26"/>
          <w:szCs w:val="26"/>
        </w:rPr>
        <w:t xml:space="preserve">6.1. Bàn giao mặt bằng, hồ sơ thiết kế được duyệt; cử tư vấn giám sát; thanh toán đúng hạn.</w:t>
      </w:r>
    </w:p>
    <w:p>
      <w:pPr>
        <w:spacing w:after="80" w:before="40" w:line="288"/>
        <w:jc w:val="both"/>
      </w:pPr>
      <w:r>
        <w:rPr>
          <w:rFonts w:ascii="Times New Roman" w:cs="Times New Roman" w:eastAsia="Times New Roman" w:hAnsi="Times New Roman"/>
          <w:sz w:val="26"/>
          <w:szCs w:val="26"/>
        </w:rPr>
        <w:t xml:space="preserve">6.2. Không giao việc trực tiếp cho nhà thầu phụ của Bên B mà không thông qua Bên B; mọi chỉ thị gửi qua Bên B.</w:t>
      </w:r>
    </w:p>
    <w:p>
      <w:pPr>
        <w:spacing w:after="80" w:before="40" w:line="288"/>
        <w:jc w:val="both"/>
      </w:pPr>
      <w:r>
        <w:rPr>
          <w:rFonts w:ascii="Times New Roman" w:cs="Times New Roman" w:eastAsia="Times New Roman" w:hAnsi="Times New Roman"/>
          <w:sz w:val="26"/>
          <w:szCs w:val="26"/>
        </w:rPr>
        <w:t xml:space="preserve">6.3. Chịu trách nhiệm về sai sót trong thiết kế do Bên A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B</w:t>
      </w:r>
    </w:p>
    <w:p>
      <w:pPr>
        <w:spacing w:after="80" w:before="40" w:line="288"/>
        <w:jc w:val="both"/>
      </w:pPr>
      <w:r>
        <w:rPr>
          <w:rFonts w:ascii="Times New Roman" w:cs="Times New Roman" w:eastAsia="Times New Roman" w:hAnsi="Times New Roman"/>
          <w:sz w:val="26"/>
          <w:szCs w:val="26"/>
        </w:rPr>
        <w:t xml:space="preserve">7.1. Thi công đúng thiết kế, tiến độ, chất lượng; chịu trách nhiệm trước Bên A về toàn bộ công trình, trừ trường hợp tại Phương án B khoản 4.2.</w:t>
      </w:r>
    </w:p>
    <w:p>
      <w:pPr>
        <w:spacing w:after="80" w:before="40" w:line="288"/>
        <w:jc w:val="both"/>
      </w:pPr>
      <w:r>
        <w:rPr>
          <w:rFonts w:ascii="Times New Roman" w:cs="Times New Roman" w:eastAsia="Times New Roman" w:hAnsi="Times New Roman"/>
          <w:sz w:val="26"/>
          <w:szCs w:val="26"/>
        </w:rPr>
        <w:t xml:space="preserve">7.2. Bố trí ban chỉ huy công trường: chỉ huy trưởng, cán bộ kỹ thuật từng bộ môn, cán bộ an toàn chuyên trách, cán bộ QA/QC.</w:t>
      </w:r>
    </w:p>
    <w:p>
      <w:pPr>
        <w:spacing w:after="80" w:before="40" w:line="288"/>
        <w:jc w:val="both"/>
      </w:pPr>
      <w:r>
        <w:rPr>
          <w:rFonts w:ascii="Times New Roman" w:cs="Times New Roman" w:eastAsia="Times New Roman" w:hAnsi="Times New Roman"/>
          <w:sz w:val="26"/>
          <w:szCs w:val="26"/>
        </w:rPr>
        <w:t xml:space="preserve">7.3. Báo cáo tuần, tháng: tiến độ, khối lượng, chất lượng, an toàn, nhân lực, thiết bị.</w:t>
      </w:r>
    </w:p>
    <w:p>
      <w:pPr>
        <w:spacing w:after="80" w:before="40" w:line="288"/>
        <w:jc w:val="both"/>
      </w:pPr>
      <w:r>
        <w:rPr>
          <w:rFonts w:ascii="Times New Roman" w:cs="Times New Roman" w:eastAsia="Times New Roman" w:hAnsi="Times New Roman"/>
          <w:sz w:val="26"/>
          <w:szCs w:val="26"/>
        </w:rPr>
        <w:t xml:space="preserve">7.4. Mua bảo hiểm theo quy định; tuân thủ an toàn, môi trường, phòng cháy chữa cháy.</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{o_30}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{o_31}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Tạm dừng, chấm dứt hợp đồng</w:t>
      </w:r>
    </w:p>
    <w:p>
      <w:pPr>
        <w:spacing w:after="80" w:before="40" w:line="288"/>
        <w:jc w:val="both"/>
      </w:pPr>
      <w:r>
        <w:rPr>
          <w:rFonts w:ascii="Times New Roman" w:cs="Times New Roman" w:eastAsia="Times New Roman" w:hAnsi="Times New Roman"/>
          <w:sz w:val="26"/>
          <w:szCs w:val="26"/>
        </w:rPr>
        <w:t xml:space="preserve">9.1. Áp dụng Điều 16 mẫu NVC-HĐ-01. Bổ sung: khi Bên A chấm dứt hợp đồng với Bên B do lỗi Bên B, Bên A có quyền tiếp nhận các hợp đồng thầu phụ (nếu nhà thầu phụ đồng ý) mà không phải bồi thường cho Bên B.</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mật</w:t>
      </w:r>
    </w:p>
    <w:p>
      <w:pPr>
        <w:spacing w:after="80" w:before="40" w:line="288"/>
        <w:jc w:val="both"/>
      </w:pPr>
      <w:r>
        <w:rPr>
          <w:rFonts w:ascii="Times New Roman" w:cs="Times New Roman" w:eastAsia="Times New Roman" w:hAnsi="Times New Roman"/>
          <w:sz w:val="26"/>
          <w:szCs w:val="26"/>
        </w:rPr>
        <w:t xml:space="preserve">11.1.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11.2. Nghĩa vụ bảo mật có hiệu lực trong thời gian thực hiện hợp đồng và {o_32}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{o_33} – ĐT: {o_34} – Email: {o_35}; Bên B: {o_36} – ĐT: {o_37} – Email: {o_38}</w:t>
      </w:r>
    </w:p>
    <w:p>
      <w:pPr>
        <w:spacing w:after="80" w:before="40" w:line="288"/>
        <w:jc w:val="both"/>
      </w:pPr>
      <w:r>
        <w:rPr>
          <w:rFonts w:ascii="Times New Roman" w:cs="Times New Roman" w:eastAsia="Times New Roman" w:hAnsi="Times New Roman"/>
          <w:sz w:val="26"/>
          <w:szCs w:val="26"/>
        </w:rPr>
        <w:t xml:space="preserve">12.3. Tin nhắn qua ứng dụng (Zalo, {o_39})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{c_2}.</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BOQ và đơn giá; PL02 – Tiến độ tổng thể; PL03 – Danh sách nhà thầu phụ (tự chọn, chỉ định) và nhà thầu song song; PL04 – Tổng mặt bằng và dịch vụ công trường.</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tổng thầu thi công xây dựng</dc:title>
  <dc:creator>Nhà Việt Group</dc:creator>
  <cp:lastModifiedBy>Un-named</cp:lastModifiedBy>
  <cp:revision>1</cp:revision>
  <dcterms:created xsi:type="dcterms:W3CDTF">2026-10-21T09:23:12.287Z</dcterms:created>
  <dcterms:modified xsi:type="dcterms:W3CDTF">2026-10-21T09:23:12.287Z</dcterms:modified>
</cp:coreProperties>
</file>

<file path=docProps/custom.xml><?xml version="1.0" encoding="utf-8"?>
<Properties xmlns="http://schemas.openxmlformats.org/officeDocument/2006/custom-properties" xmlns:vt="http://schemas.openxmlformats.org/officeDocument/2006/docPropsVTypes"/>
</file>