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NHÀ VIỆT ONE (NVO)</w:t>
            </w:r>
          </w:p>
          <w:p>
            <w:pPr>
              <w:spacing w:after="0" w:before="0" w:line="288"/>
              <w:jc w:val="center"/>
            </w:pPr>
            <w:r>
              <w:rPr>
                <w:rFonts w:ascii="Times New Roman" w:cs="Times New Roman" w:eastAsia="Times New Roman" w:hAnsi="Times New Roman"/>
                <w:sz w:val="24"/>
                <w:szCs w:val="24"/>
              </w:rPr>
              <w:t xml:space="preserve"/>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THI CÔNG XÂY DỰNG NHÀ Ở</w:t>
      </w:r>
    </w:p>
    <w:p>
      <w:pPr>
        <w:spacing w:after="160" w:before="0" w:line="288"/>
        <w:jc w:val="center"/>
      </w:pPr>
      <w:r>
        <w:rPr>
          <w:rFonts w:ascii="Times New Roman" w:cs="Times New Roman" w:eastAsia="Times New Roman" w:hAnsi="Times New Roman"/>
          <w:i/>
          <w:iCs/>
          <w:sz w:val="26"/>
          <w:szCs w:val="26"/>
        </w:rPr>
        <w:t xml:space="preserve">(Phần thô / Hoàn thiện / Phần thô và nhân công hoàn thiện)</w:t>
      </w:r>
    </w:p>
    <w:p>
      <w:pPr>
        <w:spacing w:after="160" w:before="0" w:line="288"/>
        <w:jc w:val="center"/>
      </w:pPr>
      <w:r>
        <w:rPr>
          <w:rFonts w:ascii="Times New Roman" w:cs="Times New Roman" w:eastAsia="Times New Roman" w:hAnsi="Times New Roman"/>
          <w:i/>
          <w:iCs/>
          <w:sz w:val="26"/>
          <w:szCs w:val="26"/>
        </w:rPr>
        <w:t xml:space="preserve">Công trình: Nhà ở {o_1} tầng – Địa điểm: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Xây dựng số 135/2025/QH15 (có hiệu lực từ 01/7/2026);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210/2026/NĐ-CP quy định chi tiết và hướng dẫn thi hành một số điều của Luật Xây dựng về hợp đồng xây dựng;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06/2021/NĐ-CP về quản lý chất lượng, thi công xây dựng và bảo trì công trình xây dựng (đã được sửa đổi, bổ sung) và các văn bản thay thế (nếu có);</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GIAO THẦU (BÊN A – CHỦ NHÀ):</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Ông/Bà {doi_tac_ten}</w:t>
      </w:r>
    </w:p>
    <w:p>
      <w:pPr>
        <w:spacing w:after="20" w:before="0" w:line="288"/>
        <w:ind w:left="360"/>
        <w:jc w:val="left"/>
      </w:pPr>
      <w:r>
        <w:rPr>
          <w:rFonts w:ascii="Times New Roman" w:cs="Times New Roman" w:eastAsia="Times New Roman" w:hAnsi="Times New Roman"/>
          <w:sz w:val="26"/>
          <w:szCs w:val="26"/>
        </w:rPr>
        <w:t xml:space="preserve">Ông/Bà: {o_2}  Ngày sinh: {o_3}</w:t>
      </w:r>
    </w:p>
    <w:p>
      <w:pPr>
        <w:spacing w:after="20" w:before="0" w:line="288"/>
        <w:ind w:left="360"/>
        <w:jc w:val="left"/>
      </w:pPr>
      <w:r>
        <w:rPr>
          <w:rFonts w:ascii="Times New Roman" w:cs="Times New Roman" w:eastAsia="Times New Roman" w:hAnsi="Times New Roman"/>
          <w:sz w:val="26"/>
          <w:szCs w:val="26"/>
        </w:rPr>
        <w:t xml:space="preserve">Số định danh cá nhân/CCCD: {o_4} cấp ngày {o_5} tại {o_6}</w:t>
      </w:r>
    </w:p>
    <w:p>
      <w:pPr>
        <w:spacing w:after="20" w:before="0" w:line="288"/>
        <w:ind w:left="360"/>
        <w:jc w:val="left"/>
      </w:pPr>
      <w:r>
        <w:rPr>
          <w:rFonts w:ascii="Times New Roman" w:cs="Times New Roman" w:eastAsia="Times New Roman" w:hAnsi="Times New Roman"/>
          <w:sz w:val="26"/>
          <w:szCs w:val="26"/>
        </w:rPr>
        <w:t xml:space="preserve">Địa chỉ thường trú: {doi_tac_dia_chi}</w:t>
      </w:r>
    </w:p>
    <w:p>
      <w:pPr>
        <w:spacing w:after="20" w:before="0" w:line="288"/>
        <w:ind w:left="360"/>
        <w:jc w:val="left"/>
      </w:pPr>
      <w:r>
        <w:rPr>
          <w:rFonts w:ascii="Times New Roman" w:cs="Times New Roman" w:eastAsia="Times New Roman" w:hAnsi="Times New Roman"/>
          <w:sz w:val="26"/>
          <w:szCs w:val="26"/>
        </w:rPr>
        <w:t xml:space="preserve">Điện thoại: {doi_tac_dien_thoai}  Email: {doi_tac_email}</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NHẬN THẦU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ONE (NVO)</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{o_7} – Chức vụ: {o_8} – theo Giấy ủy quyền số {o_9} ngày {o_10})</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kết hợp đồng thi công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Phạm vi công việc</w:t>
      </w:r>
    </w:p>
    <w:p>
      <w:pPr>
        <w:spacing w:after="80" w:before="40" w:line="288"/>
        <w:jc w:val="both"/>
      </w:pPr>
      <w:r>
        <w:rPr>
          <w:rFonts w:ascii="Times New Roman" w:cs="Times New Roman" w:eastAsia="Times New Roman" w:hAnsi="Times New Roman"/>
          <w:sz w:val="26"/>
          <w:szCs w:val="26"/>
        </w:rPr>
        <w:t xml:space="preserve">1.1. Bên B thi công công trình theo hồ sơ thiết kế do [Bên A cung cấp/Bên B lập theo hợp đồng thiết kế số {o_11}], với phạm vi (chọn một):</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Phần thô và nhân công phần thô.</w:t>
      </w:r>
      <w:r>
        <w:rPr>
          <w:rFonts w:ascii="Times New Roman" w:cs="Times New Roman" w:eastAsia="Times New Roman" w:hAnsi="Times New Roman"/>
          <w:sz w:val="26"/>
          <w:szCs w:val="26"/>
        </w:rPr>
        <w:t xml:space="preserve"> Bên B cung cấp vật tư thô (thép, xi măng, cát, đá, gạch, bê tông, ống và dây điện nước âm, chống thấm) và nhân công: móng, kết cấu, xây, trát, đi đường ống điện nước âm, chống thấm, mái. Phần hoàn thiện do Bên A tự tổ chức.</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Chỉ phần hoàn thiện.</w:t>
      </w:r>
      <w:r>
        <w:rPr>
          <w:rFonts w:ascii="Times New Roman" w:cs="Times New Roman" w:eastAsia="Times New Roman" w:hAnsi="Times New Roman"/>
          <w:sz w:val="26"/>
          <w:szCs w:val="26"/>
        </w:rPr>
        <w:t xml:space="preserve"> Trên phần thô đã có, Bên B cung cấp vật tư và nhân công hoàn thiện theo danh mục tại Phụ lục 01: ốp lát, sơn bả, trần, cửa, lắp thiết bị điện nước, lan can {o_12}</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Phần thô và nhân công hoàn thiện.</w:t>
      </w:r>
      <w:r>
        <w:rPr>
          <w:rFonts w:ascii="Times New Roman" w:cs="Times New Roman" w:eastAsia="Times New Roman" w:hAnsi="Times New Roman"/>
          <w:sz w:val="26"/>
          <w:szCs w:val="26"/>
        </w:rPr>
        <w:t xml:space="preserve"> Bên B thực hiện toàn bộ phần thô như Phương án A, và nhân công thi công hoàn thiện; Bên A cung cấp vật tư hoàn thiện đến công trình theo tiến độ do Bên B thông báo.</w:t>
      </w:r>
    </w:p>
    <w:p>
      <w:pPr>
        <w:pBdr>
          <w:left w:val="single" w:color="4F81BD" w:sz="18" w:space="6"/>
        </w:pBdr>
        <w:shd w:fill="EAF1FB" w:color="auto" w:val="clear"/>
        <w:spacing w:after="40" w:before="20" w:line="288"/>
        <w:ind w:left="360"/>
        <w:jc w:val="both"/>
      </w:pPr>
      <w:r>
        <w:t xml:space="preserve">{/pa_1_c}</w:t>
      </w:r>
    </w:p>
    <w:p>
      <w:pPr>
        <w:spacing w:after="80" w:before="40" w:line="288"/>
        <w:jc w:val="both"/>
      </w:pPr>
      <w:r>
        <w:rPr>
          <w:rFonts w:ascii="Times New Roman" w:cs="Times New Roman" w:eastAsia="Times New Roman" w:hAnsi="Times New Roman"/>
          <w:sz w:val="26"/>
          <w:szCs w:val="26"/>
        </w:rPr>
        <w:t xml:space="preserve">1.2. Không bao gồm: {o_13} (nội thất rời, thiết bị bếp, điều hòa, cổng rào, sân vườn {o_14}).</w:t>
      </w:r>
    </w:p>
    <w:p>
      <w:pPr>
        <w:spacing w:after="80" w:before="40" w:line="288"/>
        <w:jc w:val="both"/>
      </w:pPr>
      <w:r>
        <w:rPr>
          <w:rFonts w:ascii="Times New Roman" w:cs="Times New Roman" w:eastAsia="Times New Roman" w:hAnsi="Times New Roman"/>
          <w:sz w:val="26"/>
          <w:szCs w:val="26"/>
        </w:rPr>
        <w:t xml:space="preserve">1.3. Trường hợp Phương án B hoặc C: Bên B có trách nhiệm kiểm tra hiện trạng phần thô (với Phương án B) và lập biên bản trước khi thi công. Bên B không chịu trách nhiệm về kết cấu, chống thấm, đường ống âm do bên khác thi công trước đó.</w:t>
      </w:r>
    </w:p>
    <w:p>
      <w:pPr>
        <w:pStyle w:val="Heading2"/>
        <w:keepNext/>
        <w:spacing w:after="80" w:before="200" w:line="288"/>
        <w:jc w:val="both"/>
      </w:pPr>
      <w:r>
        <w:rPr>
          <w:rFonts w:ascii="Times New Roman" w:cs="Times New Roman" w:eastAsia="Times New Roman" w:hAnsi="Times New Roman"/>
          <w:b/>
          <w:bCs/>
          <w:sz w:val="26"/>
          <w:szCs w:val="26"/>
        </w:rPr>
        <w:t xml:space="preserve">Điều 2. Vật tư</w:t>
      </w:r>
    </w:p>
    <w:p>
      <w:pPr>
        <w:spacing w:after="80" w:before="40" w:line="288"/>
        <w:jc w:val="both"/>
      </w:pPr>
      <w:r>
        <w:rPr>
          <w:rFonts w:ascii="Times New Roman" w:cs="Times New Roman" w:eastAsia="Times New Roman" w:hAnsi="Times New Roman"/>
          <w:sz w:val="26"/>
          <w:szCs w:val="26"/>
        </w:rPr>
        <w:t xml:space="preserve">2.1. Vật tư do Bên B cung cấp phải đúng chủng loại tại Phụ lục 01, có nguồn gốc rõ ràng; Bên A được kiểm tra trước khi sử dụng.</w:t>
      </w:r>
    </w:p>
    <w:p>
      <w:pPr>
        <w:spacing w:after="80" w:before="40" w:line="288"/>
        <w:jc w:val="both"/>
      </w:pPr>
      <w:r>
        <w:rPr>
          <w:rFonts w:ascii="Times New Roman" w:cs="Times New Roman" w:eastAsia="Times New Roman" w:hAnsi="Times New Roman"/>
          <w:sz w:val="26"/>
          <w:szCs w:val="26"/>
        </w:rPr>
        <w:t xml:space="preserve">2.2. Vật tư do Bên A cung cấp (Phương án C):</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Bên B lập bảng nhu cầu vật tư hoàn thiện kèm khối lượng và thời điểm cần có trước {o_15}  ngày;</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Hai bên ký biên bản giao nhận vật tư tại công trình; Bên B bảo quản vật tư đã nhận;</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Định mức hao hụt cho phép: gạch ốp lát {o_16} %, sơn {o_17} %; vượt định mức do lỗi thi công thì Bên B bồi thường theo giá mua;</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Bên A giao vật tư chậm hoặc sai chủng loại thì tiến độ được gia hạn tương ứng; thợ phải chờ quá {o_18} ngày thì Bên A chịu chi phí chờ việc {o_19} đồng/ngày công.</w:t>
      </w:r>
    </w:p>
    <w:p>
      <w:pPr>
        <w:pStyle w:val="Heading2"/>
        <w:keepNext/>
        <w:spacing w:after="80" w:before="200" w:line="288"/>
        <w:jc w:val="both"/>
      </w:pPr>
      <w:r>
        <w:rPr>
          <w:rFonts w:ascii="Times New Roman" w:cs="Times New Roman" w:eastAsia="Times New Roman" w:hAnsi="Times New Roman"/>
          <w:b/>
          <w:bCs/>
          <w:sz w:val="26"/>
          <w:szCs w:val="26"/>
        </w:rPr>
        <w:t xml:space="preserve">Điều 3. Cách tính diện tích và giá hợp đồng</w:t>
      </w:r>
    </w:p>
    <w:p>
      <w:pPr>
        <w:spacing w:after="80" w:before="40" w:line="288"/>
        <w:jc w:val="both"/>
      </w:pPr>
      <w:r>
        <w:rPr>
          <w:rFonts w:ascii="Times New Roman" w:cs="Times New Roman" w:eastAsia="Times New Roman" w:hAnsi="Times New Roman"/>
          <w:sz w:val="26"/>
          <w:szCs w:val="26"/>
        </w:rPr>
        <w:t xml:space="preserve">3.1. Giá hợp đồng được tính theo đơn giá trên m² sàn xây dựng: </w:t>
      </w:r>
      <w:r>
        <w:rPr>
          <w:rFonts w:ascii="Times New Roman" w:cs="Times New Roman" w:eastAsia="Times New Roman" w:hAnsi="Times New Roman"/>
          <w:b/>
          <w:bCs/>
          <w:sz w:val="26"/>
          <w:szCs w:val="26"/>
        </w:rPr>
        <w:t xml:space="preserve">Giá hợp đồng = Tổng diện tích tính giá × Đơn giá</w:t>
      </w:r>
      <w:r>
        <w:rPr>
          <w:rFonts w:ascii="Times New Roman" w:cs="Times New Roman" w:eastAsia="Times New Roman" w:hAnsi="Times New Roman"/>
          <w:sz w:val="26"/>
          <w:szCs w:val="26"/>
        </w:rPr>
        <w:t xml:space="preserve">.</w:t>
      </w:r>
    </w:p>
    <w:p>
      <w:pPr>
        <w:spacing w:after="80" w:before="40" w:line="288"/>
        <w:jc w:val="both"/>
      </w:pPr>
      <w:r>
        <w:rPr>
          <w:rFonts w:ascii="Times New Roman" w:cs="Times New Roman" w:eastAsia="Times New Roman" w:hAnsi="Times New Roman"/>
          <w:sz w:val="26"/>
          <w:szCs w:val="26"/>
        </w:rPr>
        <w:t xml:space="preserve">3.2. Đơn giá (theo phương án đã chọn):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2267"/>
        <w:gridCol w:w="2269"/>
      </w:tblGrid>
      <w:tr>
        <w:trPr>
          <w:tblHeader/>
        </w:trPr>
        <w:tc>
          <w:tcPr>
            <w:tcW w:type="dxa" w:w="453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Hạng mục</w:t>
            </w:r>
          </w:p>
        </w:tc>
        <w:tc>
          <w:tcPr>
            <w:tcW w:type="dxa" w:w="226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(đ/m²)</w:t>
            </w:r>
          </w:p>
        </w:tc>
        <w:tc>
          <w:tcPr>
            <w:tcW w:type="dxa" w:w="2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Phần thô và nhân công phần thô</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{o_20}</w:t>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Phương án A, C</w:t>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Nhân công hoàn thiện</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{o_21}</w:t>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Phương án C</w:t>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Hoàn thiện (vật tư + nhân công)</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{o_22}</w:t>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Phương án B</w:t>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3.3. Cách tính diện tích (hệ số áp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2"/>
        <w:gridCol w:w="1451"/>
        <w:gridCol w:w="3448"/>
      </w:tblGrid>
      <w:tr>
        <w:trPr>
          <w:tblHeader/>
        </w:trPr>
        <w:tc>
          <w:tcPr>
            <w:tcW w:type="dxa" w:w="417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Hạng mục</w:t>
            </w:r>
          </w:p>
        </w:tc>
        <w:tc>
          <w:tcPr>
            <w:tcW w:type="dxa" w:w="145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Hệ số</w:t>
            </w:r>
          </w:p>
        </w:tc>
        <w:tc>
          <w:tcPr>
            <w:tcW w:type="dxa" w:w="344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4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Móng đơn</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20–30%</w:t>
            </w:r>
          </w:p>
        </w:tc>
        <w:tc>
          <w:tcPr>
            <w:tcW w:type="dxa" w:w="3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Tính trên diện tích tầng 1</w:t>
            </w:r>
          </w:p>
        </w:tc>
      </w:tr>
      <w:tr>
        <w:trPr>
          <w:tblHeader w:val="off"/>
        </w:trPr>
        <w:tc>
          <w:tcPr>
            <w:tcW w:type="dxa" w:w="4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Móng băng</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50–70%</w:t>
            </w:r>
          </w:p>
        </w:tc>
        <w:tc>
          <w:tcPr>
            <w:tcW w:type="dxa" w:w="3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Móng cọc (chưa gồm ép cọc)</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30–40%</w:t>
            </w:r>
          </w:p>
        </w:tc>
        <w:tc>
          <w:tcPr>
            <w:tcW w:type="dxa" w:w="3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Ép cọc tính riêng theo md</w:t>
            </w:r>
          </w:p>
        </w:tc>
      </w:tr>
      <w:tr>
        <w:trPr>
          <w:tblHeader w:val="off"/>
        </w:trPr>
        <w:tc>
          <w:tcPr>
            <w:tcW w:type="dxa" w:w="4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Tầng hầm (sâu 1,0–1,5 m / 1,5–2,0 m / &gt; 2,0 m)</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150% / 170% / 200%</w:t>
            </w:r>
          </w:p>
        </w:tc>
        <w:tc>
          <w:tcPr>
            <w:tcW w:type="dxa" w:w="3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So với cốt vỉa hè</w:t>
            </w:r>
          </w:p>
        </w:tc>
      </w:tr>
      <w:tr>
        <w:trPr>
          <w:tblHeader w:val="off"/>
        </w:trPr>
        <w:tc>
          <w:tcPr>
            <w:tcW w:type="dxa" w:w="4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Tầng 1, các tầng lầu, tum</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100%</w:t>
            </w:r>
          </w:p>
        </w:tc>
        <w:tc>
          <w:tcPr>
            <w:tcW w:type="dxa" w:w="3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Phủ bì, kể cả ban công có mái</w:t>
            </w:r>
          </w:p>
        </w:tc>
      </w:tr>
      <w:tr>
        <w:trPr>
          <w:tblHeader w:val="off"/>
        </w:trPr>
        <w:tc>
          <w:tcPr>
            <w:tcW w:type="dxa" w:w="4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Ô trống trong nhà (&lt; 8 m² / ≥ 8 m²)</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100% / 50%</w:t>
            </w:r>
          </w:p>
        </w:tc>
        <w:tc>
          <w:tcPr>
            <w:tcW w:type="dxa" w:w="3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Giếng trời, thông tầng</w:t>
            </w:r>
          </w:p>
        </w:tc>
      </w:tr>
      <w:tr>
        <w:trPr>
          <w:tblHeader w:val="off"/>
        </w:trPr>
        <w:tc>
          <w:tcPr>
            <w:tcW w:type="dxa" w:w="4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Sân thượng không mái che</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50%</w:t>
            </w:r>
          </w:p>
        </w:tc>
        <w:tc>
          <w:tcPr>
            <w:tcW w:type="dxa" w:w="3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Mái bê tông cốt thép</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50%</w:t>
            </w:r>
          </w:p>
        </w:tc>
        <w:tc>
          <w:tcPr>
            <w:tcW w:type="dxa" w:w="3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Mái ngói kèo sắt / mái ngói trên sàn BTCT</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70% / 100%</w:t>
            </w:r>
          </w:p>
        </w:tc>
        <w:tc>
          <w:tcPr>
            <w:tcW w:type="dxa" w:w="3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Mái tôn</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30%</w:t>
            </w:r>
          </w:p>
        </w:tc>
        <w:tc>
          <w:tcPr>
            <w:tcW w:type="dxa" w:w="3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Sân trước, sân sau (có đổ bê tông, lát nền)</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50–70%</w:t>
            </w:r>
          </w:p>
        </w:tc>
        <w:tc>
          <w:tcPr>
            <w:tcW w:type="dxa" w:w="344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3.4. Bảng tính diện tích và giá trị hợp đồng: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446"/>
        <w:gridCol w:w="1451"/>
        <w:gridCol w:w="1088"/>
        <w:gridCol w:w="1269"/>
        <w:gridCol w:w="1273"/>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44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Hạng mục</w:t>
            </w:r>
          </w:p>
        </w:tc>
        <w:tc>
          <w:tcPr>
            <w:tcW w:type="dxa" w:w="145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Diện tích (m²)</w:t>
            </w:r>
          </w:p>
        </w:tc>
        <w:tc>
          <w:tcPr>
            <w:tcW w:type="dxa" w:w="108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Hệ số</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DT tính giá (m²)</w:t>
            </w:r>
          </w:p>
        </w:tc>
        <w:tc>
          <w:tcPr>
            <w:tcW w:type="dxa" w:w="127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4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Móng</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4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Tầng 1</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100%</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34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Tầng 2 {o_23} tầng n</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100%</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34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Tum</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100%</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34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Sân thượng</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50%</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6</w:t>
            </w:r>
          </w:p>
        </w:tc>
        <w:tc>
          <w:tcPr>
            <w:tcW w:type="dxa" w:w="34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Mái</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7</w:t>
            </w:r>
          </w:p>
        </w:tc>
        <w:tc>
          <w:tcPr>
            <w:tcW w:type="dxa" w:w="34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Sân</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4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 cộng</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3.5. Giá hợp đồng: </w:t>
      </w:r>
      <w:r>
        <w:rPr>
          <w:rFonts w:ascii="Times New Roman" w:cs="Times New Roman" w:eastAsia="Times New Roman" w:hAnsi="Times New Roman"/>
          <w:b/>
          <w:bCs/>
          <w:sz w:val="26"/>
          <w:szCs w:val="26"/>
        </w:rPr>
        <w:t xml:space="preserve">{gia_tri}</w:t>
      </w:r>
      <w:r>
        <w:rPr>
          <w:rFonts w:ascii="Times New Roman" w:cs="Times New Roman" w:eastAsia="Times New Roman" w:hAnsi="Times New Roman"/>
          <w:sz w:val="26"/>
          <w:szCs w:val="26"/>
        </w:rPr>
        <w:t xml:space="preserve"> (Bằng chữ: {gia_tri_bang_chu}), {c_1} thuế GTGT. Diện tích thực tế thi công khác so với bảng trên quá {o_24} % thì quyết toán theo diện tích thực tế.</w:t>
      </w:r>
    </w:p>
    <w:p>
      <w:pPr>
        <w:spacing w:after="80" w:before="40" w:line="288"/>
        <w:jc w:val="both"/>
      </w:pPr>
      <w:r>
        <w:rPr>
          <w:rFonts w:ascii="Times New Roman" w:cs="Times New Roman" w:eastAsia="Times New Roman" w:hAnsi="Times New Roman"/>
          <w:sz w:val="26"/>
          <w:szCs w:val="26"/>
        </w:rPr>
        <w:t xml:space="preserve">3.6. Hạng mục tính riêng ngoài đơn giá m²: ép cọc/khoan cọc; phá dỡ nhà cũ; bể phốt, bể nước ngầm vượt quy cách thông thường; tường rào, cổng; xử lý nền đặc biệt.</w:t>
      </w:r>
    </w:p>
    <w:p>
      <w:pPr>
        <w:pStyle w:val="Heading2"/>
        <w:keepNext/>
        <w:spacing w:after="80" w:before="200" w:line="288"/>
        <w:jc w:val="both"/>
      </w:pPr>
      <w:r>
        <w:rPr>
          <w:rFonts w:ascii="Times New Roman" w:cs="Times New Roman" w:eastAsia="Times New Roman" w:hAnsi="Times New Roman"/>
          <w:b/>
          <w:bCs/>
          <w:sz w:val="26"/>
          <w:szCs w:val="26"/>
        </w:rPr>
        <w:t xml:space="preserve">Điều 4. Tạm ứng và thanh toán</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Phần thô (Phương án A, 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5079"/>
        <w:gridCol w:w="1632"/>
        <w:gridCol w:w="1635"/>
      </w:tblGrid>
      <w:tr>
        <w:trPr>
          <w:tblHeader/>
        </w:trPr>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Đợt</w:t>
            </w:r>
          </w:p>
        </w:tc>
        <w:tc>
          <w:tcPr>
            <w:tcW w:type="dxa" w:w="507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Mốc</w:t>
            </w:r>
          </w:p>
        </w:tc>
        <w:tc>
          <w:tcPr>
            <w:tcW w:type="dxa" w:w="163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Tỷ lệ</w:t>
            </w:r>
          </w:p>
        </w:tc>
        <w:tc>
          <w:tcPr>
            <w:tcW w:type="dxa" w:w="163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tiền</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{#dot_thanh_toan}{stt}</w:t>
            </w:r>
          </w:p>
        </w:tc>
        <w:tc>
          <w:tcPr>
            <w:tcW w:type="dxa" w:w="50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{noi_dung}</w:t>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{ty_le}</w:t>
            </w:r>
          </w:p>
        </w:tc>
        <w:tc>
          <w:tcPr>
            <w:tcW w:type="dxa" w:w="16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{so_tien}{/dot_thanh_toan}</w:t>
            </w:r>
          </w:p>
        </w:tc>
      </w:tr>
    </w:tbl>
    <w:p>
      <w:pPr>
        <w:pBdr>
          <w:left w:val="single" w:color="4F81BD" w:sz="18" w:space="6"/>
        </w:pBdr>
        <w:shd w:fill="EAF1FB" w:color="auto" w:val="clear"/>
        <w:spacing w:after="40" w:before="20" w:line="288"/>
        <w:ind w:left="360"/>
        <w:jc w:val="both"/>
      </w:pPr>
      <w:r>
        <w:t xml:space="preserve">{/pa_2_a}</w:t>
      </w:r>
    </w:p>
    <w:p>
      <w:pPr>
        <w:spacing w:after="60" w:before="40" w:line="288"/>
        <w:jc w:val="both"/>
      </w:pPr>
      <w:r>
        <w:rPr>
          <w:rFonts w:ascii="Times New Roman" w:cs="Times New Roman" w:eastAsia="Times New Roman" w:hAnsi="Times New Roman"/>
          <w:sz w:val="26"/>
          <w:szCs w:val="26"/>
        </w:rPr>
        <w:t xml:space="preserve"/>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Hoàn thiện (Phương án B):</w:t>
      </w:r>
      <w:r>
        <w:rPr>
          <w:rFonts w:ascii="Times New Roman" w:cs="Times New Roman" w:eastAsia="Times New Roman" w:hAnsi="Times New Roman"/>
          <w:sz w:val="26"/>
          <w:szCs w:val="26"/>
        </w:rPr>
        <w:t xml:space="preserve"> 30% khi ký hợp đồng; 30% khi hoàn thành ốp lát, trần; 35% khi bàn giao; 5% giữ lại bảo hành.</w:t>
      </w:r>
    </w:p>
    <w:p>
      <w:pPr>
        <w:pBdr>
          <w:left w:val="single" w:color="4F81BD" w:sz="18" w:space="6"/>
        </w:pBdr>
        <w:shd w:fill="EAF1FB" w:color="auto" w:val="clear"/>
        <w:spacing w:after="40" w:before="20" w:line="288"/>
        <w:ind w:left="360"/>
        <w:jc w:val="both"/>
      </w:pPr>
      <w:r>
        <w:t xml:space="preserve">{/pa_3_b}</w:t>
      </w:r>
    </w:p>
    <w:p>
      <w:pPr>
        <w:spacing w:after="80" w:before="40" w:line="288"/>
        <w:jc w:val="both"/>
      </w:pPr>
      <w:r>
        <w:rPr>
          <w:rFonts w:ascii="Times New Roman" w:cs="Times New Roman" w:eastAsia="Times New Roman" w:hAnsi="Times New Roman"/>
          <w:sz w:val="26"/>
          <w:szCs w:val="26"/>
        </w:rPr>
        <w:t xml:space="preserve">4.1. Thời hạn thanh toán: trong vòng {o_25}  ngày làm việc kể từ ngày nghiệm thu mốc. Chậm thanh toán quá {o_26} ngày, Bên B được tạm dừng thi công và tiến độ được gia hạn tương ứng.</w:t>
      </w:r>
    </w:p>
    <w:p>
      <w:pPr>
        <w:pStyle w:val="Heading2"/>
        <w:keepNext/>
        <w:spacing w:after="80" w:before="200" w:line="288"/>
        <w:jc w:val="both"/>
      </w:pPr>
      <w:r>
        <w:rPr>
          <w:rFonts w:ascii="Times New Roman" w:cs="Times New Roman" w:eastAsia="Times New Roman" w:hAnsi="Times New Roman"/>
          <w:b/>
          <w:bCs/>
          <w:sz w:val="26"/>
          <w:szCs w:val="26"/>
        </w:rPr>
        <w:t xml:space="preserve">Điều 5. Tiến độ</w:t>
      </w:r>
    </w:p>
    <w:p>
      <w:pPr>
        <w:spacing w:after="80" w:before="40" w:line="288"/>
        <w:jc w:val="both"/>
      </w:pPr>
      <w:r>
        <w:rPr>
          <w:rFonts w:ascii="Times New Roman" w:cs="Times New Roman" w:eastAsia="Times New Roman" w:hAnsi="Times New Roman"/>
          <w:sz w:val="26"/>
          <w:szCs w:val="26"/>
        </w:rPr>
        <w:t xml:space="preserve">5.1. Ngày khởi công: {o_27} /20{o_28}. Thời gian thi công: {o_29} ngày (Phương án A/C) hoặc {o_30} ngày (Phương án B), theo tiến độ đính kèm.</w:t>
      </w:r>
    </w:p>
    <w:p>
      <w:pPr>
        <w:spacing w:after="80" w:before="40" w:line="288"/>
        <w:jc w:val="both"/>
      </w:pPr>
      <w:r>
        <w:rPr>
          <w:rFonts w:ascii="Times New Roman" w:cs="Times New Roman" w:eastAsia="Times New Roman" w:hAnsi="Times New Roman"/>
          <w:sz w:val="26"/>
          <w:szCs w:val="26"/>
        </w:rPr>
        <w:t xml:space="preserve">5.2. Tiến độ được gia hạn trong các trường hợp: Bên A chậm thanh toán, chậm giao vật tư, chậm chọn mẫu; phát sinh, thay đổi thiết kế; thời tiết bất lợi kéo dài; tranh chấp với hàng xóm hoặc cơ quan có thẩm quyền yêu cầu dừng không do lỗi của Bên B; bất khả kháng.</w:t>
      </w:r>
    </w:p>
    <w:p>
      <w:pPr>
        <w:pStyle w:val="Heading2"/>
        <w:keepNext/>
        <w:spacing w:after="80" w:before="200" w:line="288"/>
        <w:jc w:val="both"/>
      </w:pPr>
      <w:r>
        <w:rPr>
          <w:rFonts w:ascii="Times New Roman" w:cs="Times New Roman" w:eastAsia="Times New Roman" w:hAnsi="Times New Roman"/>
          <w:b/>
          <w:bCs/>
          <w:sz w:val="26"/>
          <w:szCs w:val="26"/>
        </w:rPr>
        <w:t xml:space="preserve">Điều 6. Chất lượng, nghiệm thu, an toàn</w:t>
      </w:r>
    </w:p>
    <w:p>
      <w:pPr>
        <w:spacing w:after="80" w:before="40" w:line="288"/>
        <w:jc w:val="both"/>
      </w:pPr>
      <w:r>
        <w:rPr>
          <w:rFonts w:ascii="Times New Roman" w:cs="Times New Roman" w:eastAsia="Times New Roman" w:hAnsi="Times New Roman"/>
          <w:sz w:val="26"/>
          <w:szCs w:val="26"/>
        </w:rPr>
        <w:t xml:space="preserve">6.1. Bên B thi công đúng thiết kế, tiêu chuẩn kỹ thuật; bố trí kỹ sư giám sát; nghiệm thu các công việc khuất (cốt thép, đường ống âm, chống thấm) có sự chứng kiến hoặc xác nhận qua ảnh/video của Bên A trước khi che lấp.</w:t>
      </w:r>
    </w:p>
    <w:p>
      <w:pPr>
        <w:spacing w:after="80" w:before="40" w:line="288"/>
        <w:jc w:val="both"/>
      </w:pPr>
      <w:r>
        <w:rPr>
          <w:rFonts w:ascii="Times New Roman" w:cs="Times New Roman" w:eastAsia="Times New Roman" w:hAnsi="Times New Roman"/>
          <w:sz w:val="26"/>
          <w:szCs w:val="26"/>
        </w:rPr>
        <w:t xml:space="preserve">6.2. Trước khởi công, các bên lập biên bản khảo sát hiện trạng nhà liền kề (Phương án A, C). Bên B bồi thường thiệt hại do lỗi thi công của mình gây ra cho bên thứ ba.</w:t>
      </w:r>
    </w:p>
    <w:p>
      <w:pPr>
        <w:spacing w:after="80" w:before="40" w:line="288"/>
        <w:jc w:val="both"/>
      </w:pPr>
      <w:r>
        <w:rPr>
          <w:rFonts w:ascii="Times New Roman" w:cs="Times New Roman" w:eastAsia="Times New Roman" w:hAnsi="Times New Roman"/>
          <w:sz w:val="26"/>
          <w:szCs w:val="26"/>
        </w:rPr>
        <w:t xml:space="preserve">6.3. Bên B chịu trách nhiệm về an toàn lao động của thợ; Bên A cung cấp điện, nước thi công tại điểm đấu nối [và chịu tiền điện nước – nếu thỏa thuận].</w:t>
      </w:r>
    </w:p>
    <w:p>
      <w:pPr>
        <w:pStyle w:val="Heading2"/>
        <w:keepNext/>
        <w:spacing w:after="80" w:before="200" w:line="288"/>
        <w:jc w:val="both"/>
      </w:pPr>
      <w:r>
        <w:rPr>
          <w:rFonts w:ascii="Times New Roman" w:cs="Times New Roman" w:eastAsia="Times New Roman" w:hAnsi="Times New Roman"/>
          <w:b/>
          <w:bCs/>
          <w:sz w:val="26"/>
          <w:szCs w:val="26"/>
        </w:rPr>
        <w:t xml:space="preserve">Điều 7. Phát sinh</w:t>
      </w:r>
    </w:p>
    <w:p>
      <w:pPr>
        <w:spacing w:after="80" w:before="40" w:line="288"/>
        <w:jc w:val="both"/>
      </w:pPr>
      <w:r>
        <w:rPr>
          <w:rFonts w:ascii="Times New Roman" w:cs="Times New Roman" w:eastAsia="Times New Roman" w:hAnsi="Times New Roman"/>
          <w:sz w:val="26"/>
          <w:szCs w:val="26"/>
        </w:rPr>
        <w:t xml:space="preserve">7.1. Mọi thay đổi theo yêu cầu của Bên A được báo giá trước và ký phụ lục (mẫu NVO-DC-01) trước khi thực hiện, trừ trường hợp khẩn cấp vì an toàn.</w:t>
      </w:r>
    </w:p>
    <w:p>
      <w:pPr>
        <w:spacing w:after="80" w:before="40" w:line="288"/>
        <w:jc w:val="both"/>
      </w:pPr>
      <w:r>
        <w:rPr>
          <w:rFonts w:ascii="Times New Roman" w:cs="Times New Roman" w:eastAsia="Times New Roman" w:hAnsi="Times New Roman"/>
          <w:sz w:val="26"/>
          <w:szCs w:val="26"/>
        </w:rPr>
        <w:t xml:space="preserve">7.2. Đơn giá phát sinh áp dụng đơn giá hợp đồng; hạng mục chưa có đơn giá thì thỏa thuận theo giá thị trường.</w:t>
      </w:r>
    </w:p>
    <w:p>
      <w:pPr>
        <w:pStyle w:val="Heading2"/>
        <w:keepNext/>
        <w:spacing w:after="80" w:before="200" w:line="288"/>
        <w:jc w:val="both"/>
      </w:pPr>
      <w:r>
        <w:rPr>
          <w:rFonts w:ascii="Times New Roman" w:cs="Times New Roman" w:eastAsia="Times New Roman" w:hAnsi="Times New Roman"/>
          <w:b/>
          <w:bCs/>
          <w:sz w:val="26"/>
          <w:szCs w:val="26"/>
        </w:rPr>
        <w:t xml:space="preserve">Điều 8. Bảo hành</w:t>
      </w:r>
    </w:p>
    <w:p>
      <w:pPr>
        <w:spacing w:after="80" w:before="40" w:line="288"/>
        <w:jc w:val="both"/>
      </w:pPr>
      <w:r>
        <w:rPr>
          <w:rFonts w:ascii="Times New Roman" w:cs="Times New Roman" w:eastAsia="Times New Roman" w:hAnsi="Times New Roman"/>
          <w:sz w:val="26"/>
          <w:szCs w:val="26"/>
        </w:rPr>
        <w:t xml:space="preserve">8.1. Thời hạn bảo hành tính từ ngày bàn giao: kết cấu {o_31} năm (mặc định: 05 năm, Phương án A/C); chống thấm {o_32} năm; phần hoàn thiện do Bên B thi công {o_33} tháng (mặc định: 12).</w:t>
      </w:r>
    </w:p>
    <w:p>
      <w:pPr>
        <w:spacing w:after="80" w:before="40" w:line="288"/>
        <w:jc w:val="both"/>
      </w:pPr>
      <w:r>
        <w:rPr>
          <w:rFonts w:ascii="Times New Roman" w:cs="Times New Roman" w:eastAsia="Times New Roman" w:hAnsi="Times New Roman"/>
          <w:sz w:val="26"/>
          <w:szCs w:val="26"/>
        </w:rPr>
        <w:t xml:space="preserve">8.2. Tiền bảo hành: giữ lại 5% giá trị quyết toán, hoàn trả trong vòng {o_34} ngày sau khi hết thời hạn bảo hành hoàn thiện.</w:t>
      </w:r>
    </w:p>
    <w:p>
      <w:pPr>
        <w:spacing w:after="80" w:before="40" w:line="288"/>
        <w:jc w:val="both"/>
      </w:pPr>
      <w:r>
        <w:rPr>
          <w:rFonts w:ascii="Times New Roman" w:cs="Times New Roman" w:eastAsia="Times New Roman" w:hAnsi="Times New Roman"/>
          <w:sz w:val="26"/>
          <w:szCs w:val="26"/>
        </w:rPr>
        <w:t xml:space="preserve">8.3. Bên B không bảo hành đối với vật tư do Bên A cung cấp (chỉ bảo hành phần nhân công lắp đặt), hư hỏng do sử dụng sai hoặc bên khác thi công.</w:t>
      </w:r>
    </w:p>
    <w:p>
      <w:pPr>
        <w:pStyle w:val="Heading2"/>
        <w:keepNext/>
        <w:spacing w:after="80" w:before="200" w:line="288"/>
        <w:jc w:val="both"/>
      </w:pPr>
      <w:r>
        <w:rPr>
          <w:rFonts w:ascii="Times New Roman" w:cs="Times New Roman" w:eastAsia="Times New Roman" w:hAnsi="Times New Roman"/>
          <w:b/>
          <w:bCs/>
          <w:sz w:val="26"/>
          <w:szCs w:val="26"/>
        </w:rPr>
        <w:t xml:space="preserve">Điều 9. Phạt vi phạm</w:t>
      </w:r>
    </w:p>
    <w:p>
      <w:pPr>
        <w:spacing w:after="80" w:before="40" w:line="288"/>
        <w:jc w:val="both"/>
      </w:pPr>
      <w:r>
        <w:rPr>
          <w:rFonts w:ascii="Times New Roman" w:cs="Times New Roman" w:eastAsia="Times New Roman" w:hAnsi="Times New Roman"/>
          <w:sz w:val="26"/>
          <w:szCs w:val="26"/>
        </w:rPr>
        <w:t xml:space="preserve">9.1. Bên B chậm tiến độ do lỗi của mình bị phạt {o_35} % giá hợp đồng cho mỗi ngày chậm; tổng mức phạt không vượt quá {o_36} % giá trị phần hợp đồng bị vi phạm.</w:t>
      </w:r>
    </w:p>
    <w:p>
      <w:pPr>
        <w:spacing w:after="80" w:before="40" w:line="288"/>
        <w:jc w:val="both"/>
      </w:pPr>
      <w:r>
        <w:rPr>
          <w:rFonts w:ascii="Times New Roman" w:cs="Times New Roman" w:eastAsia="Times New Roman" w:hAnsi="Times New Roman"/>
          <w:sz w:val="26"/>
          <w:szCs w:val="26"/>
        </w:rPr>
        <w:t xml:space="preserve">9.2. Bên A chậm thanh toán chịu lãi chậm trả {o_37} %/tháng trên số tiền chậm trả.</w:t>
      </w:r>
    </w:p>
    <w:p>
      <w:pPr>
        <w:spacing w:after="80" w:before="40" w:line="288"/>
        <w:jc w:val="both"/>
      </w:pPr>
      <w:r>
        <w:rPr>
          <w:rFonts w:ascii="Times New Roman" w:cs="Times New Roman" w:eastAsia="Times New Roman" w:hAnsi="Times New Roman"/>
          <w:sz w:val="26"/>
          <w:szCs w:val="26"/>
        </w:rPr>
        <w:t xml:space="preserve">9.3. Bên nào đơn phương chấm dứt hợp đồng trái thỏa thuận phải bồi thường thiệt hại thực tế cho bên kia và chịu phạt {o_38} % giá trị phần hợp đồng còn lại.</w:t>
      </w:r>
    </w:p>
    <w:p>
      <w:pPr>
        <w:pStyle w:val="Heading2"/>
        <w:keepNext/>
        <w:spacing w:after="80" w:before="200" w:line="288"/>
        <w:jc w:val="both"/>
      </w:pPr>
      <w:r>
        <w:rPr>
          <w:rFonts w:ascii="Times New Roman" w:cs="Times New Roman" w:eastAsia="Times New Roman" w:hAnsi="Times New Roman"/>
          <w:b/>
          <w:bCs/>
          <w:sz w:val="26"/>
          <w:szCs w:val="26"/>
        </w:rPr>
        <w:t xml:space="preserve">Điều 10.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10.1.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10.2.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10.3.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10.4. Nếu sự kiện bất khả kháng kéo dài quá {o_39}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10.5. Khi hoàn cảnh thay đổi cơ bản theo Điều 420 Bộ luật Dân sự (ví dụ: giá vật liệu chính biến động bất thường vượt quá {o_40}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11. Giải quyết tranh chấp</w:t>
      </w:r>
    </w:p>
    <w:p>
      <w:pPr>
        <w:spacing w:after="80" w:before="40" w:line="288"/>
        <w:jc w:val="both"/>
      </w:pPr>
      <w:r>
        <w:rPr>
          <w:rFonts w:ascii="Times New Roman" w:cs="Times New Roman" w:eastAsia="Times New Roman" w:hAnsi="Times New Roman"/>
          <w:sz w:val="26"/>
          <w:szCs w:val="26"/>
        </w:rPr>
        <w:t xml:space="preserve">11.1.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11.2.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t xml:space="preserve">{#pa_4_b}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{/pa_4_b}</w:t>
      </w:r>
    </w:p>
    <w:p>
      <w:pPr>
        <w:spacing w:after="80" w:before="40" w:line="288"/>
        <w:jc w:val="both"/>
      </w:pPr>
      <w:r>
        <w:rPr>
          <w:rFonts w:ascii="Times New Roman" w:cs="Times New Roman" w:eastAsia="Times New Roman" w:hAnsi="Times New Roman"/>
          <w:sz w:val="26"/>
          <w:szCs w:val="26"/>
        </w:rPr>
        <w:t xml:space="preserve">11.3.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12. Thông báo và đại diện liên lạc</w:t>
      </w:r>
    </w:p>
    <w:p>
      <w:pPr>
        <w:spacing w:after="80" w:before="40" w:line="288"/>
        <w:jc w:val="both"/>
      </w:pPr>
      <w:r>
        <w:rPr>
          <w:rFonts w:ascii="Times New Roman" w:cs="Times New Roman" w:eastAsia="Times New Roman" w:hAnsi="Times New Roman"/>
          <w:sz w:val="26"/>
          <w:szCs w:val="26"/>
        </w:rPr>
        <w:t xml:space="preserve">12.1. Mọi thông báo, yêu cầu, chấp thuận theo hợp đồng phải lập bằng văn bản và gửi trực tiếp, qua bưu điện hoặc thư điện tử tới địa chỉ nêu tại phần thông tin các bên. Thông báo qua thư điện tử có giá trị khi gửi từ/tới địa chỉ đã đăng ký dưới đây.</w:t>
      </w:r>
    </w:p>
    <w:p>
      <w:pPr>
        <w:spacing w:after="80" w:before="40" w:line="288"/>
        <w:jc w:val="both"/>
      </w:pPr>
      <w:r>
        <w:rPr>
          <w:rFonts w:ascii="Times New Roman" w:cs="Times New Roman" w:eastAsia="Times New Roman" w:hAnsi="Times New Roman"/>
          <w:sz w:val="26"/>
          <w:szCs w:val="26"/>
        </w:rPr>
        <w:t xml:space="preserve">12.2. Đại diện liên lạc: Bên A: {o_41} – ĐT: {o_42} – Email: {o_43}; Bên B: {o_44} – ĐT: {o_45} – Email: {o_46}</w:t>
      </w:r>
    </w:p>
    <w:p>
      <w:pPr>
        <w:spacing w:after="80" w:before="40" w:line="288"/>
        <w:jc w:val="both"/>
      </w:pPr>
      <w:r>
        <w:rPr>
          <w:rFonts w:ascii="Times New Roman" w:cs="Times New Roman" w:eastAsia="Times New Roman" w:hAnsi="Times New Roman"/>
          <w:sz w:val="26"/>
          <w:szCs w:val="26"/>
        </w:rPr>
        <w:t xml:space="preserve">12.3. Tin nhắn qua ứng dụng (Zalo, {o_47}) chỉ dùng để trao đổi điều hành, không thay thế văn bản đối với các nội dung về giá, khối lượng phát sinh, tiến độ và chấm dứt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13. Hiệu lực và điều khoản thi hành</w:t>
      </w:r>
    </w:p>
    <w:p>
      <w:pPr>
        <w:spacing w:after="80" w:before="40" w:line="288"/>
        <w:jc w:val="both"/>
      </w:pPr>
      <w:r>
        <w:rPr>
          <w:rFonts w:ascii="Times New Roman" w:cs="Times New Roman" w:eastAsia="Times New Roman" w:hAnsi="Times New Roman"/>
          <w:sz w:val="26"/>
          <w:szCs w:val="26"/>
        </w:rPr>
        <w:t xml:space="preserve">13.1. Hợp đồng có hiệu lực kể từ {c_2}.</w:t>
      </w:r>
    </w:p>
    <w:p>
      <w:pPr>
        <w:spacing w:after="80" w:before="40" w:line="288"/>
        <w:jc w:val="both"/>
      </w:pPr>
      <w:r>
        <w:rPr>
          <w:rFonts w:ascii="Times New Roman" w:cs="Times New Roman" w:eastAsia="Times New Roman" w:hAnsi="Times New Roman"/>
          <w:sz w:val="26"/>
          <w:szCs w:val="26"/>
        </w:rPr>
        <w:t xml:space="preserve">13.2.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13.3. Hợp đồng được lập thành 02 bản tiếng Việt có giá trị pháp lý như nhau, mỗi bên giữ 01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Phụ lục 01 – Chủng loại vật tư; Phụ lục 02 – Tiến độ thi công; Bản vẽ thiết kế.</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NVO-HĐ-03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ONE (NVO) · NVO-HĐ-03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thi công phần thô / hoàn thiện nhà ở</dc:title>
  <dc:creator>Nhà Việt Group</dc:creator>
  <cp:lastModifiedBy>Un-named</cp:lastModifiedBy>
  <cp:revision>1</cp:revision>
  <dcterms:created xsi:type="dcterms:W3CDTF">2026-10-21T09:23:12.904Z</dcterms:created>
  <dcterms:modified xsi:type="dcterms:W3CDTF">2026-10-21T09:23:12.904Z</dcterms:modified>
</cp:coreProperties>
</file>

<file path=docProps/custom.xml><?xml version="1.0" encoding="utf-8"?>
<Properties xmlns="http://schemas.openxmlformats.org/officeDocument/2006/custom-properties" xmlns:vt="http://schemas.openxmlformats.org/officeDocument/2006/docPropsVTypes"/>
</file>