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NHÀ VIỆT ONE (NVO)</w:t>
            </w:r>
          </w:p>
          <w:p>
            <w:pPr>
              <w:spacing w:after="0" w:before="0" w:line="288"/>
              <w:jc w:val="center"/>
            </w:pPr>
            <w:r>
              <w:rPr>
                <w:rFonts w:ascii="Times New Roman" w:cs="Times New Roman" w:eastAsia="Times New Roman" w:hAnsi="Times New Roman"/>
                <w:sz w:val="24"/>
                <w:szCs w:val="24"/>
              </w:rPr>
              <w:t xml:space="preserve"/>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THIẾT KẾ, SẢN XUẤT VÀ LẮP ĐẶT NỘI THẤT</w:t>
      </w:r>
    </w:p>
    <w:p>
      <w:pPr>
        <w:spacing w:after="160" w:before="0" w:line="288"/>
        <w:jc w:val="center"/>
      </w:pPr>
      <w:r>
        <w:rPr>
          <w:rFonts w:ascii="Times New Roman" w:cs="Times New Roman" w:eastAsia="Times New Roman" w:hAnsi="Times New Roman"/>
          <w:i/>
          <w:iCs/>
          <w:sz w:val="26"/>
          <w:szCs w:val="26"/>
        </w:rPr>
        <w:t xml:space="preserve">Công trình: {ten_hop_dong} – Địa chỉ: {o_1}</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 (đối với phần lắp đặt tại công trình);</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MUA (BÊN A – CHỦ NHÀ):</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Ông/Bà {doi_tac_ten}</w:t>
      </w:r>
    </w:p>
    <w:p>
      <w:pPr>
        <w:spacing w:after="20" w:before="0" w:line="288"/>
        <w:ind w:left="360"/>
        <w:jc w:val="left"/>
      </w:pPr>
      <w:r>
        <w:rPr>
          <w:rFonts w:ascii="Times New Roman" w:cs="Times New Roman" w:eastAsia="Times New Roman" w:hAnsi="Times New Roman"/>
          <w:sz w:val="26"/>
          <w:szCs w:val="26"/>
        </w:rPr>
        <w:t xml:space="preserve">Ông/Bà: {o_2}  Ngày sinh: {o_3}</w:t>
      </w:r>
    </w:p>
    <w:p>
      <w:pPr>
        <w:spacing w:after="20" w:before="0" w:line="288"/>
        <w:ind w:left="360"/>
        <w:jc w:val="left"/>
      </w:pPr>
      <w:r>
        <w:rPr>
          <w:rFonts w:ascii="Times New Roman" w:cs="Times New Roman" w:eastAsia="Times New Roman" w:hAnsi="Times New Roman"/>
          <w:sz w:val="26"/>
          <w:szCs w:val="26"/>
        </w:rPr>
        <w:t xml:space="preserve">Số định danh cá nhân/CCCD: {o_4} cấp ngày {o_5} tại {o_6}</w:t>
      </w:r>
    </w:p>
    <w:p>
      <w:pPr>
        <w:spacing w:after="20" w:before="0" w:line="288"/>
        <w:ind w:left="360"/>
        <w:jc w:val="left"/>
      </w:pPr>
      <w:r>
        <w:rPr>
          <w:rFonts w:ascii="Times New Roman" w:cs="Times New Roman" w:eastAsia="Times New Roman" w:hAnsi="Times New Roman"/>
          <w:sz w:val="26"/>
          <w:szCs w:val="26"/>
        </w:rPr>
        <w:t xml:space="preserve">Địa chỉ thường trú: {doi_tac_dia_chi}</w:t>
      </w:r>
    </w:p>
    <w:p>
      <w:pPr>
        <w:spacing w:after="20" w:before="0" w:line="288"/>
        <w:ind w:left="360"/>
        <w:jc w:val="left"/>
      </w:pPr>
      <w:r>
        <w:rPr>
          <w:rFonts w:ascii="Times New Roman" w:cs="Times New Roman" w:eastAsia="Times New Roman" w:hAnsi="Times New Roman"/>
          <w:sz w:val="26"/>
          <w:szCs w:val="26"/>
        </w:rPr>
        <w:t xml:space="preserve">Điện thoại: {doi_tac_dien_thoai}  Email: {doi_tac_email}</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BÁN, LẮP ĐẶT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{o_7} – Chức vụ: {o_8} – theo Giấy ủy quyền số {o_9} ngày {o_10})</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Nội dung công việc</w:t>
      </w:r>
    </w:p>
    <w:p>
      <w:pPr>
        <w:spacing w:after="80" w:before="40" w:line="288"/>
        <w:jc w:val="both"/>
      </w:pPr>
      <w:r>
        <w:rPr>
          <w:rFonts w:ascii="Times New Roman" w:cs="Times New Roman" w:eastAsia="Times New Roman" w:hAnsi="Times New Roman"/>
          <w:sz w:val="26"/>
          <w:szCs w:val="26"/>
        </w:rPr>
        <w:t xml:space="preserve">1.1. Bên B thiết kế, sản xuất, vận chuyển và lắp đặt hoàn chỉnh các sản phẩm nội thất theo </w:t>
      </w:r>
      <w:r>
        <w:rPr>
          <w:rFonts w:ascii="Times New Roman" w:cs="Times New Roman" w:eastAsia="Times New Roman" w:hAnsi="Times New Roman"/>
          <w:b/>
          <w:bCs/>
          <w:sz w:val="26"/>
          <w:szCs w:val="26"/>
        </w:rPr>
        <w:t xml:space="preserve">Phụ lục 01 – Bảng danh mục, quy cách, vật liệu và đơn giá</w:t>
      </w:r>
      <w:r>
        <w:rPr>
          <w:rFonts w:ascii="Times New Roman" w:cs="Times New Roman" w:eastAsia="Times New Roman" w:hAnsi="Times New Roman"/>
          <w:sz w:val="26"/>
          <w:szCs w:val="26"/>
        </w:rPr>
        <w:t xml:space="preserve">.</w:t>
      </w:r>
    </w:p>
    <w:p>
      <w:pPr>
        <w:spacing w:after="80" w:before="40" w:line="288"/>
        <w:jc w:val="both"/>
      </w:pPr>
      <w:r>
        <w:rPr>
          <w:rFonts w:ascii="Times New Roman" w:cs="Times New Roman" w:eastAsia="Times New Roman" w:hAnsi="Times New Roman"/>
          <w:sz w:val="26"/>
          <w:szCs w:val="26"/>
        </w:rPr>
        <w:t xml:space="preserve">1.2. Phạm vi:</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Thiết kế 3D + sản xuất + lắp đặt (phí thiết kế {o_11} đồng, được khấu trừ {o_12} % nếu Bên A ký sản xuất).</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Chỉ sản xuất và lắp đặt theo bản vẽ do Bên A cung cấp.</w:t>
      </w:r>
    </w:p>
    <w:p>
      <w:pPr>
        <w:pBdr>
          <w:left w:val="single" w:color="4F81BD" w:sz="18" w:space="6"/>
        </w:pBdr>
        <w:shd w:fill="EAF1FB" w:color="auto" w:val="clear"/>
        <w:spacing w:after="40" w:before="20" w:line="288"/>
        <w:ind w:left="360"/>
        <w:jc w:val="both"/>
      </w:pPr>
      <w:r>
        <w:t xml:space="preserve">{/pa_1_b}</w:t>
      </w:r>
    </w:p>
    <w:p>
      <w:pPr>
        <w:spacing w:after="80" w:before="40" w:line="288"/>
        <w:jc w:val="both"/>
      </w:pPr>
      <w:r>
        <w:rPr>
          <w:rFonts w:ascii="Times New Roman" w:cs="Times New Roman" w:eastAsia="Times New Roman" w:hAnsi="Times New Roman"/>
          <w:sz w:val="26"/>
          <w:szCs w:val="26"/>
        </w:rPr>
        <w:t xml:space="preserve">1.3. Không bao gồm: thiết bị điện tử, thiết bị bếp (bếp, hút mùi, lò{o_13}), đá ốp, kính, rèm, đèn trang trí và đấu nối điện nước, trừ khi được liệt kê tại Phụ lục 01.</w:t>
      </w:r>
    </w:p>
    <w:p>
      <w:pPr>
        <w:pStyle w:val="Heading2"/>
        <w:keepNext/>
        <w:spacing w:after="80" w:before="200" w:line="288"/>
        <w:jc w:val="both"/>
      </w:pPr>
      <w:r>
        <w:rPr>
          <w:rFonts w:ascii="Times New Roman" w:cs="Times New Roman" w:eastAsia="Times New Roman" w:hAnsi="Times New Roman"/>
          <w:b/>
          <w:bCs/>
          <w:sz w:val="26"/>
          <w:szCs w:val="26"/>
        </w:rPr>
        <w:t xml:space="preserve">Điều 2. Đo đạc, bản vẽ và mẫu vật liệu</w:t>
      </w:r>
    </w:p>
    <w:p>
      <w:pPr>
        <w:spacing w:after="80" w:before="40" w:line="288"/>
        <w:jc w:val="both"/>
      </w:pPr>
      <w:r>
        <w:rPr>
          <w:rFonts w:ascii="Times New Roman" w:cs="Times New Roman" w:eastAsia="Times New Roman" w:hAnsi="Times New Roman"/>
          <w:sz w:val="26"/>
          <w:szCs w:val="26"/>
        </w:rPr>
        <w:t xml:space="preserve">2.1. Bên B đo đạc hiện trạng sau khi Bên A hoàn thiện trần, sàn, tường, điểm chờ điện nước tại các vị trí lắp đặt. Hiện trạng thay đổi sau khi đo đạc do Bên A gây ra thì chi phí sửa đổi sản phẩm do Bên A chịu.</w:t>
      </w:r>
    </w:p>
    <w:p>
      <w:pPr>
        <w:spacing w:after="80" w:before="40" w:line="288"/>
        <w:jc w:val="both"/>
      </w:pPr>
      <w:r>
        <w:rPr>
          <w:rFonts w:ascii="Times New Roman" w:cs="Times New Roman" w:eastAsia="Times New Roman" w:hAnsi="Times New Roman"/>
          <w:sz w:val="26"/>
          <w:szCs w:val="26"/>
        </w:rPr>
        <w:t xml:space="preserve">2.2. Bên B lập bản vẽ triển khai sản xuất (shop drawing) thể hiện kích thước, cấu tạo, vật liệu, màu sắc, phụ kiện, trình Bên A ký duyệt. </w:t>
      </w:r>
      <w:r>
        <w:rPr>
          <w:rFonts w:ascii="Times New Roman" w:cs="Times New Roman" w:eastAsia="Times New Roman" w:hAnsi="Times New Roman"/>
          <w:b/>
          <w:bCs/>
          <w:sz w:val="26"/>
          <w:szCs w:val="26"/>
        </w:rPr>
        <w:t xml:space="preserve">Bên B chỉ đưa vào sản xuất sau khi Bên A ký duyệt shop drawing và mẫu vật liệu.</w:t>
      </w:r>
    </w:p>
    <w:p>
      <w:pPr>
        <w:spacing w:after="80" w:before="40" w:line="288"/>
        <w:jc w:val="both"/>
      </w:pPr>
      <w:r>
        <w:rPr>
          <w:rFonts w:ascii="Times New Roman" w:cs="Times New Roman" w:eastAsia="Times New Roman" w:hAnsi="Times New Roman"/>
          <w:sz w:val="26"/>
          <w:szCs w:val="26"/>
        </w:rPr>
        <w:t xml:space="preserve">2.3. Bên B cung cấp mẫu vật liệu (tấm mẫu màu, mẫu cánh, phụ kiện) để Bên A chọn; sản phẩm thực tế có thể chênh lệch nhỏ về màu sắc, vân gỗ so với mẫu và ảnh 3D do đặc tính vật liệu và ánh sáng – không phải là lỗi sản phẩm.</w:t>
      </w:r>
    </w:p>
    <w:p>
      <w:pPr>
        <w:spacing w:after="80" w:before="40" w:line="288"/>
        <w:jc w:val="both"/>
      </w:pPr>
      <w:r>
        <w:rPr>
          <w:rFonts w:ascii="Times New Roman" w:cs="Times New Roman" w:eastAsia="Times New Roman" w:hAnsi="Times New Roman"/>
          <w:sz w:val="26"/>
          <w:szCs w:val="26"/>
        </w:rPr>
        <w:t xml:space="preserve">2.4. Vật liệu chính: {o_14} (VD: MDF lõi xanh chống ẩm phủ melamine/acrylic/laminate; gỗ tự nhiên {o_15}; phụ kiện bản lề, ray {o_16} thương hiệu {o_17}).</w:t>
      </w:r>
    </w:p>
    <w:p>
      <w:pPr>
        <w:pStyle w:val="Heading2"/>
        <w:keepNext/>
        <w:spacing w:after="80" w:before="200" w:line="288"/>
        <w:jc w:val="both"/>
      </w:pPr>
      <w:r>
        <w:rPr>
          <w:rFonts w:ascii="Times New Roman" w:cs="Times New Roman" w:eastAsia="Times New Roman" w:hAnsi="Times New Roman"/>
          <w:b/>
          <w:bCs/>
          <w:sz w:val="26"/>
          <w:szCs w:val="26"/>
        </w:rPr>
        <w:t xml:space="preserve">Điều 3. Giá hợp đồng</w:t>
      </w:r>
    </w:p>
    <w:p>
      <w:pPr>
        <w:spacing w:after="80" w:before="40" w:line="288"/>
        <w:jc w:val="both"/>
      </w:pPr>
      <w:r>
        <w:rPr>
          <w:rFonts w:ascii="Times New Roman" w:cs="Times New Roman" w:eastAsia="Times New Roman" w:hAnsi="Times New Roman"/>
          <w:sz w:val="26"/>
          <w:szCs w:val="26"/>
        </w:rPr>
        <w:t xml:space="preserve">3.1. Giá hợp đồng: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 {c_1} thuế GTGT, bao gồm chi phí vật liệu, sản xuất, vận chuyển đến công trình, lắp đặt, vệ sinh sau lắp đặt.</w:t>
      </w:r>
    </w:p>
    <w:p>
      <w:pPr>
        <w:spacing w:after="80" w:before="40" w:line="288"/>
        <w:jc w:val="both"/>
      </w:pPr>
      <w:r>
        <w:rPr>
          <w:rFonts w:ascii="Times New Roman" w:cs="Times New Roman" w:eastAsia="Times New Roman" w:hAnsi="Times New Roman"/>
          <w:sz w:val="26"/>
          <w:szCs w:val="26"/>
        </w:rPr>
        <w:t xml:space="preserve">3.2. Giá theo đơn giá tại Phụ lục 01; khối lượng chính thức xác định theo shop drawing được duyệt. Thay đổi kích thước, vật liệu sau khi duyệt được tính phát sinh theo phụ lục.</w:t>
      </w:r>
    </w:p>
    <w:p>
      <w:pPr>
        <w:spacing w:after="80" w:before="40" w:line="288"/>
        <w:jc w:val="both"/>
      </w:pPr>
      <w:r>
        <w:rPr>
          <w:rFonts w:ascii="Times New Roman" w:cs="Times New Roman" w:eastAsia="Times New Roman" w:hAnsi="Times New Roman"/>
          <w:sz w:val="26"/>
          <w:szCs w:val="26"/>
        </w:rPr>
        <w:t xml:space="preserve">3.3. Chi phí phát sinh do công trình không có thang máy, phải vận chuyển thủ công lên tầng cao hoặc đường vào hạn chế: {o_18} đồng (nếu có).</w:t>
      </w:r>
    </w:p>
    <w:p>
      <w:pPr>
        <w:pStyle w:val="Heading2"/>
        <w:keepNext/>
        <w:spacing w:after="80" w:before="200" w:line="288"/>
        <w:jc w:val="both"/>
      </w:pPr>
      <w:r>
        <w:rPr>
          <w:rFonts w:ascii="Times New Roman" w:cs="Times New Roman" w:eastAsia="Times New Roman" w:hAnsi="Times New Roman"/>
          <w:b/>
          <w:bCs/>
          <w:sz w:val="26"/>
          <w:szCs w:val="26"/>
        </w:rPr>
        <w:t xml:space="preserve">Điều 4. Thanh toán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50 – 40 – 10:</w:t>
      </w:r>
      <w:r>
        <w:rPr>
          <w:rFonts w:ascii="Times New Roman" w:cs="Times New Roman" w:eastAsia="Times New Roman" w:hAnsi="Times New Roman"/>
          <w:sz w:val="26"/>
          <w:szCs w:val="26"/>
        </w:rPr>
        <w:t xml:space="preserve"> 50% khi ký hợp đồng và duyệt shop drawing; 40% khi giao hàng đến công trình (trước khi lắp đặt); 10% trong vòng {o_19} ngày kể từ ngày nghiệm thu bàn giao.</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40 – 30 – 25 – 5:</w:t>
      </w:r>
      <w:r>
        <w:rPr>
          <w:rFonts w:ascii="Times New Roman" w:cs="Times New Roman" w:eastAsia="Times New Roman" w:hAnsi="Times New Roman"/>
          <w:sz w:val="26"/>
          <w:szCs w:val="26"/>
        </w:rPr>
        <w:t xml:space="preserve"> 40% khi ký; 30% khi duyệt shop drawing/bắt đầu sản xuất; 25% khi lắp đặt xong, nghiệm thu; 5% giữ lại đến hết thời hạn bảo hành.</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4.1. Thanh toán bằng chuyển khoản vào tài khoản Bên B. Bên A chậm thanh toán đợt giao hàng thì Bên B có quyền tạm hoãn giao, lắp đặt; Bên A chịu chi phí lưu kho {o_20} đồng/ngày sau {o_21} ngày.</w:t>
      </w:r>
    </w:p>
    <w:p>
      <w:pPr>
        <w:pStyle w:val="Heading2"/>
        <w:keepNext/>
        <w:spacing w:after="80" w:before="200" w:line="288"/>
        <w:jc w:val="both"/>
      </w:pPr>
      <w:r>
        <w:rPr>
          <w:rFonts w:ascii="Times New Roman" w:cs="Times New Roman" w:eastAsia="Times New Roman" w:hAnsi="Times New Roman"/>
          <w:b/>
          <w:bCs/>
          <w:sz w:val="26"/>
          <w:szCs w:val="26"/>
        </w:rPr>
        <w:t xml:space="preserve">Điều 5. Tiến độ</w:t>
      </w:r>
    </w:p>
    <w:p>
      <w:pPr>
        <w:spacing w:after="80" w:before="40" w:line="288"/>
        <w:jc w:val="both"/>
      </w:pPr>
      <w:r>
        <w:rPr>
          <w:rFonts w:ascii="Times New Roman" w:cs="Times New Roman" w:eastAsia="Times New Roman" w:hAnsi="Times New Roman"/>
          <w:sz w:val="26"/>
          <w:szCs w:val="26"/>
        </w:rPr>
        <w:t xml:space="preserve">5.1. Thời gian sản xuất: {o_22} ngày làm việc kể từ ngày Bên A ký duyệt shop drawing, mẫu vật liệu và thanh toán đợt 1.</w:t>
      </w:r>
    </w:p>
    <w:p>
      <w:pPr>
        <w:spacing w:after="80" w:before="40" w:line="288"/>
        <w:jc w:val="both"/>
      </w:pPr>
      <w:r>
        <w:rPr>
          <w:rFonts w:ascii="Times New Roman" w:cs="Times New Roman" w:eastAsia="Times New Roman" w:hAnsi="Times New Roman"/>
          <w:sz w:val="26"/>
          <w:szCs w:val="26"/>
        </w:rPr>
        <w:t xml:space="preserve">5.2. Thời gian lắp đặt: {o_23} ngày kể từ ngày giao hàng, với điều kiện mặt bằng đã sẵn sàng (sạch, có điện, không có đội thi công khác làm cản trở).</w:t>
      </w:r>
    </w:p>
    <w:p>
      <w:pPr>
        <w:spacing w:after="80" w:before="40" w:line="288"/>
        <w:jc w:val="both"/>
      </w:pPr>
      <w:r>
        <w:rPr>
          <w:rFonts w:ascii="Times New Roman" w:cs="Times New Roman" w:eastAsia="Times New Roman" w:hAnsi="Times New Roman"/>
          <w:sz w:val="26"/>
          <w:szCs w:val="26"/>
        </w:rPr>
        <w:t xml:space="preserve">5.3. Tiến độ được gia hạn khi Bên A chậm duyệt bản vẽ, chậm thanh toán, mặt bằng chưa sẵn sàng hoặc thay đổi thiết kế.</w:t>
      </w:r>
    </w:p>
    <w:p>
      <w:pPr>
        <w:pStyle w:val="Heading2"/>
        <w:keepNext/>
        <w:spacing w:after="80" w:before="200" w:line="288"/>
        <w:jc w:val="both"/>
      </w:pPr>
      <w:r>
        <w:rPr>
          <w:rFonts w:ascii="Times New Roman" w:cs="Times New Roman" w:eastAsia="Times New Roman" w:hAnsi="Times New Roman"/>
          <w:b/>
          <w:bCs/>
          <w:sz w:val="26"/>
          <w:szCs w:val="26"/>
        </w:rPr>
        <w:t xml:space="preserve">Điều 6. Hàng đặt riêng – hủy đơn và thay đổi</w:t>
      </w:r>
    </w:p>
    <w:p>
      <w:pPr>
        <w:spacing w:after="80" w:before="40" w:line="288"/>
        <w:jc w:val="both"/>
      </w:pPr>
      <w:r>
        <w:rPr>
          <w:rFonts w:ascii="Times New Roman" w:cs="Times New Roman" w:eastAsia="Times New Roman" w:hAnsi="Times New Roman"/>
          <w:sz w:val="26"/>
          <w:szCs w:val="26"/>
        </w:rPr>
        <w:t xml:space="preserve">6.1. Sản phẩm được sản xuất riêng theo kích thước công trình của Bên A. </w:t>
      </w:r>
      <w:r>
        <w:rPr>
          <w:rFonts w:ascii="Times New Roman" w:cs="Times New Roman" w:eastAsia="Times New Roman" w:hAnsi="Times New Roman"/>
          <w:b/>
          <w:bCs/>
          <w:sz w:val="26"/>
          <w:szCs w:val="26"/>
        </w:rPr>
        <w:t xml:space="preserve">Sau khi Bên A duyệt shop drawing và Bên B đã đưa vào sản xuất, Bên A không được hủy đơn.</w:t>
      </w:r>
    </w:p>
    <w:p>
      <w:pPr>
        <w:spacing w:after="80" w:before="40" w:line="288"/>
        <w:jc w:val="both"/>
      </w:pPr>
      <w:r>
        <w:rPr>
          <w:rFonts w:ascii="Times New Roman" w:cs="Times New Roman" w:eastAsia="Times New Roman" w:hAnsi="Times New Roman"/>
          <w:sz w:val="26"/>
          <w:szCs w:val="26"/>
        </w:rPr>
        <w:t xml:space="preserve">6.2. Bên A đơn phương hủy hợp đồng: (a) trước khi duyệt shop drawing – Bên B được giữ phí thiết kế và chi phí đo đạc {o_24} đồng; (b) sau khi duyệt shop drawing – Bên A thanh toán toàn bộ chi phí vật liệu đã mua, phần sản xuất đã thực hiện và bồi thường {o_25} % giá trị phần hợp đồng còn lại; Bên B giao sản phẩm đã hoàn thành (nếu có) cho Bên A.</w:t>
      </w:r>
    </w:p>
    <w:p>
      <w:pPr>
        <w:pStyle w:val="Heading2"/>
        <w:keepNext/>
        <w:spacing w:after="80" w:before="200" w:line="288"/>
        <w:jc w:val="both"/>
      </w:pPr>
      <w:r>
        <w:rPr>
          <w:rFonts w:ascii="Times New Roman" w:cs="Times New Roman" w:eastAsia="Times New Roman" w:hAnsi="Times New Roman"/>
          <w:b/>
          <w:bCs/>
          <w:sz w:val="26"/>
          <w:szCs w:val="26"/>
        </w:rPr>
        <w:t xml:space="preserve">Điều 7. Giao hàng, lắp đặt và nghiệm thu</w:t>
      </w:r>
    </w:p>
    <w:p>
      <w:pPr>
        <w:spacing w:after="80" w:before="40" w:line="288"/>
        <w:jc w:val="both"/>
      </w:pPr>
      <w:r>
        <w:rPr>
          <w:rFonts w:ascii="Times New Roman" w:cs="Times New Roman" w:eastAsia="Times New Roman" w:hAnsi="Times New Roman"/>
          <w:sz w:val="26"/>
          <w:szCs w:val="26"/>
        </w:rPr>
        <w:t xml:space="preserve">7.1. Bên B thông báo lịch giao hàng trước {o_26} ngày. Bên A bố trí người nhận hàng, chỗ tập kết; ký biên bản giao nhận số lượng, tình trạng ngoại quan.</w:t>
      </w:r>
    </w:p>
    <w:p>
      <w:pPr>
        <w:spacing w:after="80" w:before="40" w:line="288"/>
        <w:jc w:val="both"/>
      </w:pPr>
      <w:r>
        <w:rPr>
          <w:rFonts w:ascii="Times New Roman" w:cs="Times New Roman" w:eastAsia="Times New Roman" w:hAnsi="Times New Roman"/>
          <w:sz w:val="26"/>
          <w:szCs w:val="26"/>
        </w:rPr>
        <w:t xml:space="preserve">7.2. Nghiệm thu bàn giao: kiểm tra kích thước, vật liệu, màu sắc theo shop drawing; độ chắc chắn, vận hành cánh, ngăn kéo, phụ kiện. Lỗi nhỏ không ảnh hưởng công năng được ghi vào biên bản để khắc phục trong {o_27} ngày, không là lý do từ chối nghiệm thu.</w:t>
      </w:r>
    </w:p>
    <w:p>
      <w:pPr>
        <w:spacing w:after="80" w:before="40" w:line="288"/>
        <w:jc w:val="both"/>
      </w:pPr>
      <w:r>
        <w:rPr>
          <w:rFonts w:ascii="Times New Roman" w:cs="Times New Roman" w:eastAsia="Times New Roman" w:hAnsi="Times New Roman"/>
          <w:sz w:val="26"/>
          <w:szCs w:val="26"/>
        </w:rPr>
        <w:t xml:space="preserve">7.3. Bên A không ký nghiệm thu trong vòng {o_28} ngày kể từ khi Bên B thông báo hoàn thành và không nêu lỗi cụ thể bằng văn bản, sản phẩm được coi là đã nghiệm thu.</w:t>
      </w:r>
    </w:p>
    <w:p>
      <w:pPr>
        <w:pStyle w:val="Heading2"/>
        <w:keepNext/>
        <w:spacing w:after="80" w:before="200" w:line="288"/>
        <w:jc w:val="both"/>
      </w:pPr>
      <w:r>
        <w:rPr>
          <w:rFonts w:ascii="Times New Roman" w:cs="Times New Roman" w:eastAsia="Times New Roman" w:hAnsi="Times New Roman"/>
          <w:b/>
          <w:bCs/>
          <w:sz w:val="26"/>
          <w:szCs w:val="26"/>
        </w:rPr>
        <w:t xml:space="preserve">Điều 8. Bảo hành</w:t>
      </w:r>
    </w:p>
    <w:p>
      <w:pPr>
        <w:spacing w:after="80" w:before="40" w:line="288"/>
        <w:jc w:val="both"/>
      </w:pPr>
      <w:r>
        <w:rPr>
          <w:rFonts w:ascii="Times New Roman" w:cs="Times New Roman" w:eastAsia="Times New Roman" w:hAnsi="Times New Roman"/>
          <w:sz w:val="26"/>
          <w:szCs w:val="26"/>
        </w:rPr>
        <w:t xml:space="preserve">8.1. Thời hạn bảo hành:</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12 tháng đối với toàn bộ sản phẩm.</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24 tháng đối với thùng, cánh, khung; 12 tháng đối với phụ kiện (bản lề, ray, tay nâng) hoặc theo bảo hành của nhà sản xuất phụ kiện.</w:t>
      </w:r>
    </w:p>
    <w:p>
      <w:pPr>
        <w:pBdr>
          <w:left w:val="single" w:color="4F81BD" w:sz="18" w:space="6"/>
        </w:pBdr>
        <w:shd w:fill="EAF1FB" w:color="auto" w:val="clear"/>
        <w:spacing w:after="40" w:before="20" w:line="288"/>
        <w:ind w:left="360"/>
        <w:jc w:val="both"/>
      </w:pPr>
      <w:r>
        <w:t xml:space="preserve">{/pa_3_b}</w:t>
      </w:r>
    </w:p>
    <w:p>
      <w:pPr>
        <w:spacing w:after="80" w:before="40" w:line="288"/>
        <w:jc w:val="both"/>
      </w:pPr>
      <w:r>
        <w:rPr>
          <w:rFonts w:ascii="Times New Roman" w:cs="Times New Roman" w:eastAsia="Times New Roman" w:hAnsi="Times New Roman"/>
          <w:sz w:val="26"/>
          <w:szCs w:val="26"/>
        </w:rPr>
        <w:t xml:space="preserve">8.2. Bên B khắc phục lỗi do vật liệu, sản xuất, lắp đặt trong vòng {o_29}  ngày kể từ khi nhận thông báo.</w:t>
      </w:r>
    </w:p>
    <w:p>
      <w:pPr>
        <w:spacing w:after="80" w:before="40" w:line="288"/>
        <w:jc w:val="both"/>
      </w:pPr>
      <w:r>
        <w:rPr>
          <w:rFonts w:ascii="Times New Roman" w:cs="Times New Roman" w:eastAsia="Times New Roman" w:hAnsi="Times New Roman"/>
          <w:sz w:val="26"/>
          <w:szCs w:val="26"/>
        </w:rPr>
        <w:t xml:space="preserve">8.3. Không bảo hành: hư hỏng do ngấm nước, ẩm mốc do rò rỉ của công trình, va đập, dùng hóa chất tẩy rửa mạnh, tự ý tháo lắp, di chuyển; hao mòn tự nhiên; vật liệu do Bên A chỉ định không theo khuyến nghị của Bên B.</w:t>
      </w:r>
    </w:p>
    <w:p>
      <w:pPr>
        <w:pStyle w:val="Heading2"/>
        <w:keepNext/>
        <w:spacing w:after="80" w:before="200" w:line="288"/>
        <w:jc w:val="both"/>
      </w:pPr>
      <w:r>
        <w:rPr>
          <w:rFonts w:ascii="Times New Roman" w:cs="Times New Roman" w:eastAsia="Times New Roman" w:hAnsi="Times New Roman"/>
          <w:b/>
          <w:bCs/>
          <w:sz w:val="26"/>
          <w:szCs w:val="26"/>
        </w:rPr>
        <w:t xml:space="preserve">Điều 9. Phạt vi phạm</w:t>
      </w:r>
    </w:p>
    <w:p>
      <w:pPr>
        <w:spacing w:after="80" w:before="40" w:line="288"/>
        <w:jc w:val="both"/>
      </w:pPr>
      <w:r>
        <w:rPr>
          <w:rFonts w:ascii="Times New Roman" w:cs="Times New Roman" w:eastAsia="Times New Roman" w:hAnsi="Times New Roman"/>
          <w:sz w:val="26"/>
          <w:szCs w:val="26"/>
        </w:rPr>
        <w:t xml:space="preserve">9.1. Bên B giao, lắp đặt chậm do lỗi của mình bị phạt {o_30} % giá trị phần hợp đồng chậm thực hiện cho mỗi ngày chậm; tổng mức phạt không vượt quá 8% giá trị phần nghĩa vụ hợp đồng bị vi phạm.</w:t>
      </w:r>
    </w:p>
    <w:p>
      <w:pPr>
        <w:spacing w:after="80" w:before="40" w:line="288"/>
        <w:jc w:val="both"/>
      </w:pPr>
      <w:r>
        <w:rPr>
          <w:rFonts w:ascii="Times New Roman" w:cs="Times New Roman" w:eastAsia="Times New Roman" w:hAnsi="Times New Roman"/>
          <w:sz w:val="26"/>
          <w:szCs w:val="26"/>
        </w:rPr>
        <w:t xml:space="preserve">9.2. Bên A chậm thanh toán chịu lãi chậm trả theo lãi suất nợ quá hạn trung bình trên thị trường tại thời điểm thanh toán.</w:t>
      </w:r>
    </w:p>
    <w:p>
      <w:pPr>
        <w:pStyle w:val="Heading2"/>
        <w:keepNext/>
        <w:spacing w:after="80" w:before="200" w:line="288"/>
        <w:jc w:val="both"/>
      </w:pPr>
      <w:r>
        <w:rPr>
          <w:rFonts w:ascii="Times New Roman" w:cs="Times New Roman" w:eastAsia="Times New Roman" w:hAnsi="Times New Roman"/>
          <w:b/>
          <w:bCs/>
          <w:sz w:val="26"/>
          <w:szCs w:val="26"/>
        </w:rPr>
        <w:t xml:space="preserve">Điều 10.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10.1.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10.2.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10.3.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10.4. Nếu sự kiện bất khả kháng kéo dài quá {o_31}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10.5. Khi hoàn cảnh thay đổi cơ bản theo Điều 420 Bộ luật Dân sự (ví dụ: giá vật liệu chính biến động bất thường vượt quá {o_32}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11. Giải quyết tranh chấp</w:t>
      </w:r>
    </w:p>
    <w:p>
      <w:pPr>
        <w:spacing w:after="80" w:before="40" w:line="288"/>
        <w:jc w:val="both"/>
      </w:pPr>
      <w:r>
        <w:rPr>
          <w:rFonts w:ascii="Times New Roman" w:cs="Times New Roman" w:eastAsia="Times New Roman" w:hAnsi="Times New Roman"/>
          <w:sz w:val="26"/>
          <w:szCs w:val="26"/>
        </w:rPr>
        <w:t xml:space="preserve">11.1.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11.2.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t xml:space="preserve">{#pa_4_b}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{/pa_4_b}</w:t>
      </w:r>
    </w:p>
    <w:p>
      <w:pPr>
        <w:spacing w:after="80" w:before="40" w:line="288"/>
        <w:jc w:val="both"/>
      </w:pPr>
      <w:r>
        <w:rPr>
          <w:rFonts w:ascii="Times New Roman" w:cs="Times New Roman" w:eastAsia="Times New Roman" w:hAnsi="Times New Roman"/>
          <w:sz w:val="26"/>
          <w:szCs w:val="26"/>
        </w:rPr>
        <w:t xml:space="preserve">11.3.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12. Hiệu lực và điều khoản thi hành</w:t>
      </w:r>
    </w:p>
    <w:p>
      <w:pPr>
        <w:spacing w:after="80" w:before="40" w:line="288"/>
        <w:jc w:val="both"/>
      </w:pPr>
      <w:r>
        <w:rPr>
          <w:rFonts w:ascii="Times New Roman" w:cs="Times New Roman" w:eastAsia="Times New Roman" w:hAnsi="Times New Roman"/>
          <w:sz w:val="26"/>
          <w:szCs w:val="26"/>
        </w:rPr>
        <w:t xml:space="preserve">12.1. Hợp đồng có hiệu lực kể từ {c_2}.</w:t>
      </w:r>
    </w:p>
    <w:p>
      <w:pPr>
        <w:spacing w:after="80" w:before="40" w:line="288"/>
        <w:jc w:val="both"/>
      </w:pPr>
      <w:r>
        <w:rPr>
          <w:rFonts w:ascii="Times New Roman" w:cs="Times New Roman" w:eastAsia="Times New Roman" w:hAnsi="Times New Roman"/>
          <w:sz w:val="26"/>
          <w:szCs w:val="26"/>
        </w:rPr>
        <w:t xml:space="preserve">12.2.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12.3. Hợp đồng được lập thành 02 bản tiếng Việt có giá trị pháp lý như nhau, mỗi bên giữ 01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Phụ lục 01 – Bảng danh mục, quy cách, vật liệu và đơn giá; Shop drawing được duyệt; Biên bản chọn mẫu vật liệu.</w:t>
      </w:r>
    </w:p>
    <w:p>
      <w:r>
        <w:br w:type="page"/>
      </w:r>
    </w:p>
    <w:p>
      <w:pPr>
        <w:spacing w:after="80" w:before="40" w:line="288"/>
        <w:jc w:val="center"/>
      </w:pPr>
      <w:r>
        <w:rPr>
          <w:rFonts w:ascii="Times New Roman" w:cs="Times New Roman" w:eastAsia="Times New Roman" w:hAnsi="Times New Roman"/>
          <w:b/>
          <w:bCs/>
          <w:sz w:val="26"/>
          <w:szCs w:val="26"/>
        </w:rPr>
        <w:t xml:space="preserve">PHỤ LỤC 01 – BẢNG DANH MỤC, QUY CÁCH, VẬT LIỆU VÀ ĐƠN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995"/>
        <w:gridCol w:w="1814"/>
        <w:gridCol w:w="2086"/>
        <w:gridCol w:w="725"/>
        <w:gridCol w:w="907"/>
        <w:gridCol w:w="1091"/>
      </w:tblGrid>
      <w:tr>
        <w:trPr>
          <w:tblHeader/>
        </w:trPr>
        <w:tc>
          <w:tcPr>
            <w:tcW w:type="dxa" w:w="45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199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Sản phẩm/Vị trí</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Kích thước (D×R×C)</w:t>
            </w:r>
          </w:p>
        </w:tc>
        <w:tc>
          <w:tcPr>
            <w:tcW w:type="dxa" w:w="208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Vật liệu, màu, phụ kiện</w:t>
            </w:r>
          </w:p>
        </w:tc>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Khối lượng</w:t>
            </w:r>
          </w:p>
        </w:tc>
        <w:tc>
          <w:tcPr>
            <w:tcW w:type="dxa" w:w="109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w:t>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Tủ bếp dưới</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md</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Tủ bếp trên</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md</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Tủ áo phòng ngủ 1</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m²</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Giường ngủ</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cái</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Kệ tivi, vách trang trí</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m²</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{o_33}</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99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cộng</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NVO-HĐ-04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NVO-HĐ-04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thiết kế, sản xuất và lắp đặt nội thất</dc:title>
  <dc:creator>Nhà Việt Group</dc:creator>
  <cp:lastModifiedBy>Un-named</cp:lastModifiedBy>
  <cp:revision>1</cp:revision>
  <dcterms:created xsi:type="dcterms:W3CDTF">2026-10-21T09:23:12.940Z</dcterms:created>
  <dcterms:modified xsi:type="dcterms:W3CDTF">2026-10-21T09:23:12.941Z</dcterms:modified>
</cp:coreProperties>
</file>

<file path=docProps/custom.xml><?xml version="1.0" encoding="utf-8"?>
<Properties xmlns="http://schemas.openxmlformats.org/officeDocument/2006/custom-properties" xmlns:vt="http://schemas.openxmlformats.org/officeDocument/2006/docPropsVTypes"/>
</file>