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(Bên bán/Bên cho thuê)</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NGUYÊN TẮC</w:t>
      </w:r>
    </w:p>
    <w:p>
      <w:pPr>
        <w:spacing w:after="160" w:before="0" w:line="288"/>
        <w:jc w:val="center"/>
      </w:pPr>
      <w:r>
        <w:rPr>
          <w:rFonts w:ascii="Times New Roman" w:cs="Times New Roman" w:eastAsia="Times New Roman" w:hAnsi="Times New Roman"/>
          <w:i/>
          <w:iCs/>
          <w:sz w:val="26"/>
          <w:szCs w:val="26"/>
        </w:rPr>
        <w:t xml:space="preserve">Mua bán và cho thuê giàn giáo, cốp pha, kết cấu thép và phụ kiện</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{o_2}, chúng tôi gồm:</w:t>
      </w:r>
    </w:p>
    <w:p>
      <w:pPr>
        <w:spacing w:after="40" w:before="120" w:line="288"/>
        <w:jc w:val="left"/>
      </w:pPr>
      <w:r>
        <w:rPr>
          <w:rFonts w:ascii="Times New Roman" w:cs="Times New Roman" w:eastAsia="Times New Roman" w:hAnsi="Times New Roman"/>
          <w:b/>
          <w:bCs/>
          <w:sz w:val="26"/>
          <w:szCs w:val="26"/>
        </w:rPr>
        <w:t xml:space="preserve">KHÁCH HÀNG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{o_3} ngày {o_4}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NHÀ CUNG CẤP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{o_5} – Chức vụ: {o_6} – theo Giấy ủy quyền số {o_7} ngày {o_8})</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hợp đồng nguyên tắc làm khung cho các giao dịch mua bán, cho thuê phát sinh thường xuyên,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Phạm vi và nguyên tắc giao dịch</w:t>
      </w:r>
    </w:p>
    <w:p>
      <w:pPr>
        <w:spacing w:after="80" w:before="40" w:line="288"/>
        <w:jc w:val="both"/>
      </w:pPr>
      <w:r>
        <w:rPr>
          <w:rFonts w:ascii="Times New Roman" w:cs="Times New Roman" w:eastAsia="Times New Roman" w:hAnsi="Times New Roman"/>
          <w:sz w:val="26"/>
          <w:szCs w:val="26"/>
        </w:rPr>
        <w:t xml:space="preserve">1.1. Bên B cung cấp cho Bên A các sản phẩm, dịch vụ: bán giàn giáo, cốp pha, kết cấu thép, phụ kiện; cho thuê giàn giáo, cốp pha; gia công theo đơn đặt hàng.</w:t>
      </w:r>
    </w:p>
    <w:p>
      <w:pPr>
        <w:spacing w:after="80" w:before="40" w:line="288"/>
        <w:jc w:val="both"/>
      </w:pPr>
      <w:r>
        <w:rPr>
          <w:rFonts w:ascii="Times New Roman" w:cs="Times New Roman" w:eastAsia="Times New Roman" w:hAnsi="Times New Roman"/>
          <w:sz w:val="26"/>
          <w:szCs w:val="26"/>
        </w:rPr>
        <w:t xml:space="preserve">1.2. Mỗi lần giao dịch được thực hiện theo </w:t>
      </w:r>
      <w:r>
        <w:rPr>
          <w:rFonts w:ascii="Times New Roman" w:cs="Times New Roman" w:eastAsia="Times New Roman" w:hAnsi="Times New Roman"/>
          <w:b/>
          <w:bCs/>
          <w:sz w:val="26"/>
          <w:szCs w:val="26"/>
        </w:rPr>
        <w:t xml:space="preserve">Đơn đặt hàng</w:t>
      </w:r>
      <w:r>
        <w:rPr>
          <w:rFonts w:ascii="Times New Roman" w:cs="Times New Roman" w:eastAsia="Times New Roman" w:hAnsi="Times New Roman"/>
          <w:sz w:val="26"/>
          <w:szCs w:val="26"/>
        </w:rPr>
        <w:t xml:space="preserve"> (Phụ lục 02) do Bên A gửi và được Bên B xác nhận bằng văn bản hoặc qua thư điện tử từ các địa chỉ đăng ký tại Điều 9. Đơn đặt hàng đã xác nhận cùng hợp đồng này tạo thành hợp đồng cụ thể, có giá trị ràng buộc các bên.</w:t>
      </w:r>
    </w:p>
    <w:p>
      <w:pPr>
        <w:spacing w:after="80" w:before="40" w:line="288"/>
        <w:jc w:val="both"/>
      </w:pPr>
      <w:r>
        <w:rPr>
          <w:rFonts w:ascii="Times New Roman" w:cs="Times New Roman" w:eastAsia="Times New Roman" w:hAnsi="Times New Roman"/>
          <w:sz w:val="26"/>
          <w:szCs w:val="26"/>
        </w:rPr>
        <w:t xml:space="preserve">1.3. Điều kiện của giao dịch cho thuê áp dụng theo Mẫu hợp đồng cho thuê NVS-HĐ-02; giao dịch gia công áp dụng theo Mẫu NVS-HĐ-03, trừ các nội dung đã quy định khác tại hợp đồng này.</w:t>
      </w:r>
    </w:p>
    <w:p>
      <w:pPr>
        <w:spacing w:after="80" w:before="40" w:line="288"/>
        <w:jc w:val="both"/>
      </w:pPr>
      <w:r>
        <w:rPr>
          <w:rFonts w:ascii="Times New Roman" w:cs="Times New Roman" w:eastAsia="Times New Roman" w:hAnsi="Times New Roman"/>
          <w:sz w:val="26"/>
          <w:szCs w:val="26"/>
        </w:rPr>
        <w:t xml:space="preserve">1.4. Hợp đồng nguyên tắc không bắt buộc Bên A phải đặt hàng với khối lượng tối thiểu, trừ khi hưởng chiết khấu theo sản lượng tại Điều 2.</w:t>
      </w:r>
    </w:p>
    <w:p>
      <w:pPr>
        <w:pStyle w:val="Heading2"/>
        <w:keepNext/>
        <w:spacing w:after="80" w:before="200" w:line="288"/>
        <w:jc w:val="both"/>
      </w:pPr>
      <w:r>
        <w:rPr>
          <w:rFonts w:ascii="Times New Roman" w:cs="Times New Roman" w:eastAsia="Times New Roman" w:hAnsi="Times New Roman"/>
          <w:b/>
          <w:bCs/>
          <w:sz w:val="26"/>
          <w:szCs w:val="26"/>
        </w:rPr>
        <w:t xml:space="preserve">Điều 2. Bảng giá và chiết khấu</w:t>
      </w:r>
    </w:p>
    <w:p>
      <w:pPr>
        <w:spacing w:after="80" w:before="40" w:line="288"/>
        <w:jc w:val="both"/>
      </w:pPr>
      <w:r>
        <w:rPr>
          <w:rFonts w:ascii="Times New Roman" w:cs="Times New Roman" w:eastAsia="Times New Roman" w:hAnsi="Times New Roman"/>
          <w:sz w:val="26"/>
          <w:szCs w:val="26"/>
        </w:rPr>
        <w:t xml:space="preserve">2.1. Đơn giá áp dụng theo Bảng giá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 có hiệu lực từ ngày {o_9} /20{o_10} Bên B được điều chỉnh bảng giá khi giá thép nguyên liệu biến động trên {o_11} %, thông báo trước {o_12} ngày. Đơn đặt hàng đã xác nhận trước ngày điều chỉnh giữ nguyên giá.</w:t>
      </w:r>
    </w:p>
    <w:p>
      <w:pPr>
        <w:spacing w:after="80" w:before="40" w:line="288"/>
        <w:jc w:val="both"/>
      </w:pPr>
      <w:r>
        <w:rPr>
          <w:rFonts w:ascii="Times New Roman" w:cs="Times New Roman" w:eastAsia="Times New Roman" w:hAnsi="Times New Roman"/>
          <w:sz w:val="26"/>
          <w:szCs w:val="26"/>
        </w:rPr>
        <w:t xml:space="preserve">2.2. Chiết khấu theo sản lượng lũy kế trong năm hợp đồng: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2721"/>
        <w:gridCol w:w="2722"/>
      </w:tblGrid>
      <w:tr>
        <w:trPr>
          <w:tblHeader/>
        </w:trPr>
        <w:tc>
          <w:tcPr>
            <w:tcW w:type="dxa" w:w="362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Doanh số lũy kế (chưa VAT)</w:t>
            </w:r>
          </w:p>
        </w:tc>
        <w:tc>
          <w:tcPr>
            <w:tcW w:type="dxa" w:w="272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Chiết khấu mua</w:t>
            </w:r>
          </w:p>
        </w:tc>
        <w:tc>
          <w:tcPr>
            <w:tcW w:type="dxa" w:w="27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Chiết khấu thuê</w:t>
            </w:r>
          </w:p>
        </w:tc>
      </w:tr>
      <w:tr>
        <w:trPr>
          <w:tblHeader w:val="off"/>
        </w:trPr>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Từ {o_13} đến dưới {o_14} đồng</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{o_15}%</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{o_16}%</w:t>
            </w:r>
          </w:p>
        </w:tc>
      </w:tr>
      <w:tr>
        <w:trPr>
          <w:tblHeader w:val="off"/>
        </w:trPr>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Từ {o_17} đến dưới {o_18} đồng</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{o_19}%</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{o_20}%</w:t>
            </w:r>
          </w:p>
        </w:tc>
      </w:tr>
      <w:tr>
        <w:trPr>
          <w:tblHeader w:val="off"/>
        </w:trPr>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Từ {o_21} đồng trở lên</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{o_22}%</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{o_23}%</w:t>
            </w:r>
          </w:p>
        </w:tc>
      </w:tr>
    </w:tbl>
    <w:p>
      <w:pPr>
        <w:spacing w:after="60" w:before="40" w:line="288"/>
        <w:jc w:val="both"/>
      </w:pPr>
      <w:r>
        <w:rPr>
          <w:rFonts w:ascii="Times New Roman" w:cs="Times New Roman" w:eastAsia="Times New Roman" w:hAnsi="Times New Roman"/>
          <w:sz w:val="26"/>
          <w:szCs w:val="26"/>
        </w:rPr>
        <w:t xml:space="preserve"/>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Chiết khấu trừ trực tiếp trên hóa đơn của từng đơn hàng sau khi đạt mốc.</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Chiết khấu được tính và chi trả (hoặc bù trừ công nợ) theo quý/cuối năm hợp đồng, xuất hóa đơn điều chỉnh giảm theo quy định.</w:t>
      </w:r>
    </w:p>
    <w:p>
      <w:pPr>
        <w:pBdr>
          <w:left w:val="single" w:color="4F81BD" w:sz="18" w:space="6"/>
        </w:pBdr>
        <w:shd w:fill="EAF1FB" w:color="auto" w:val="clear"/>
        <w:spacing w:after="40" w:before="20" w:line="288"/>
        <w:ind w:left="360"/>
        <w:jc w:val="both"/>
      </w:pPr>
      <w:r>
        <w:t xml:space="preserve">{/pa_1_b}</w:t>
      </w:r>
    </w:p>
    <w:p>
      <w:pPr>
        <w:pStyle w:val="Heading2"/>
        <w:keepNext/>
        <w:spacing w:after="80" w:before="200" w:line="288"/>
        <w:jc w:val="both"/>
      </w:pPr>
      <w:r>
        <w:rPr>
          <w:rFonts w:ascii="Times New Roman" w:cs="Times New Roman" w:eastAsia="Times New Roman" w:hAnsi="Times New Roman"/>
          <w:b/>
          <w:bCs/>
          <w:sz w:val="26"/>
          <w:szCs w:val="26"/>
        </w:rPr>
        <w:t xml:space="preserve">Điều 3. Hạn mức công nợ và thanh toán</w:t>
      </w:r>
    </w:p>
    <w:p>
      <w:pPr>
        <w:spacing w:after="80" w:before="40" w:line="288"/>
        <w:jc w:val="both"/>
      </w:pPr>
      <w:r>
        <w:rPr>
          <w:rFonts w:ascii="Times New Roman" w:cs="Times New Roman" w:eastAsia="Times New Roman" w:hAnsi="Times New Roman"/>
          <w:sz w:val="26"/>
          <w:szCs w:val="26"/>
        </w:rPr>
        <w:t xml:space="preserve">3.1. Hạn mức công nợ tối đa: </w:t>
      </w:r>
      <w:r>
        <w:rPr>
          <w:rFonts w:ascii="Times New Roman" w:cs="Times New Roman" w:eastAsia="Times New Roman" w:hAnsi="Times New Roman"/>
          <w:b/>
          <w:bCs/>
          <w:sz w:val="26"/>
          <w:szCs w:val="26"/>
        </w:rPr>
        <w:t xml:space="preserve">{o_24} đồng</w:t>
      </w:r>
      <w:r>
        <w:rPr>
          <w:rFonts w:ascii="Times New Roman" w:cs="Times New Roman" w:eastAsia="Times New Roman" w:hAnsi="Times New Roman"/>
          <w:sz w:val="26"/>
          <w:szCs w:val="26"/>
        </w:rPr>
        <w:t xml:space="preserve"> (bao gồm tiền hàng, tiền thuê, tiền bồi thường chưa thanh toán).</w:t>
      </w:r>
    </w:p>
    <w:p>
      <w:pPr>
        <w:spacing w:after="80" w:before="40" w:line="288"/>
        <w:jc w:val="both"/>
      </w:pPr>
      <w:r>
        <w:rPr>
          <w:rFonts w:ascii="Times New Roman" w:cs="Times New Roman" w:eastAsia="Times New Roman" w:hAnsi="Times New Roman"/>
          <w:sz w:val="26"/>
          <w:szCs w:val="26"/>
        </w:rPr>
        <w:t xml:space="preserve">3.2. Thời hạn thanh toán: {o_25} ngày kể từ ngày giao hàng/chốt công nợ và nhận hóa đơn.</w:t>
      </w:r>
    </w:p>
    <w:p>
      <w:pPr>
        <w:spacing w:after="80" w:before="40" w:line="288"/>
        <w:jc w:val="both"/>
      </w:pPr>
      <w:r>
        <w:rPr>
          <w:rFonts w:ascii="Times New Roman" w:cs="Times New Roman" w:eastAsia="Times New Roman" w:hAnsi="Times New Roman"/>
          <w:sz w:val="26"/>
          <w:szCs w:val="26"/>
        </w:rPr>
        <w:t xml:space="preserve">3.3. Bảo đảm cho hạn mức công nợ:</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Không yêu cầu bảo đảm.</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nộp tiền ký quỹ/đặt cọc {o_26} đồng.</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t xml:space="preserve">{#pa_2_c}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Bên A nộp bảo lãnh thanh toán của ngân hàng giá trị {o_27} đồng.</w:t>
      </w:r>
    </w:p>
    <w:p>
      <w:pPr>
        <w:pBdr>
          <w:left w:val="single" w:color="4F81BD" w:sz="18" w:space="6"/>
        </w:pBdr>
        <w:shd w:fill="EAF1FB" w:color="auto" w:val="clear"/>
        <w:spacing w:after="40" w:before="20" w:line="288"/>
        <w:ind w:left="360"/>
        <w:jc w:val="both"/>
      </w:pPr>
      <w:r>
        <w:t xml:space="preserve">{/pa_2_c}</w:t>
      </w:r>
    </w:p>
    <w:p>
      <w:pPr>
        <w:spacing w:after="80" w:before="40" w:line="288"/>
        <w:jc w:val="both"/>
      </w:pPr>
      <w:r>
        <w:rPr>
          <w:rFonts w:ascii="Times New Roman" w:cs="Times New Roman" w:eastAsia="Times New Roman" w:hAnsi="Times New Roman"/>
          <w:sz w:val="26"/>
          <w:szCs w:val="26"/>
        </w:rPr>
        <w:t xml:space="preserve">3.4. Bên B có quyền </w:t>
      </w:r>
      <w:r>
        <w:rPr>
          <w:rFonts w:ascii="Times New Roman" w:cs="Times New Roman" w:eastAsia="Times New Roman" w:hAnsi="Times New Roman"/>
          <w:b/>
          <w:bCs/>
          <w:sz w:val="26"/>
          <w:szCs w:val="26"/>
        </w:rPr>
        <w:t xml:space="preserve">tạm ngừng giao hàng và xác nhận đơn hàng mới</w:t>
      </w:r>
      <w:r>
        <w:rPr>
          <w:rFonts w:ascii="Times New Roman" w:cs="Times New Roman" w:eastAsia="Times New Roman" w:hAnsi="Times New Roman"/>
          <w:sz w:val="26"/>
          <w:szCs w:val="26"/>
        </w:rPr>
        <w:t xml:space="preserve"> khi: (a) tổng công nợ vượt hạn mức; hoặc (b) có khoản nợ quá hạn trên {o_28} ngày, cho đến khi Bên A thanh toán đưa công nợ về trong hạn mức. Việc tạm ngừng không bị coi là vi phạm hợp đồng.</w:t>
      </w:r>
    </w:p>
    <w:p>
      <w:pPr>
        <w:spacing w:after="80" w:before="40" w:line="288"/>
        <w:jc w:val="both"/>
      </w:pPr>
      <w:r>
        <w:rPr>
          <w:rFonts w:ascii="Times New Roman" w:cs="Times New Roman" w:eastAsia="Times New Roman" w:hAnsi="Times New Roman"/>
          <w:sz w:val="26"/>
          <w:szCs w:val="26"/>
        </w:rPr>
        <w:t xml:space="preserve">3.5. Chậm thanh toán, Bên A chịu lãi chậm trả {o_29} %/tháng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4. Đối chiếu công nợ</w:t>
      </w:r>
    </w:p>
    <w:p>
      <w:pPr>
        <w:spacing w:after="80" w:before="40" w:line="288"/>
        <w:jc w:val="both"/>
      </w:pPr>
      <w:r>
        <w:rPr>
          <w:rFonts w:ascii="Times New Roman" w:cs="Times New Roman" w:eastAsia="Times New Roman" w:hAnsi="Times New Roman"/>
          <w:sz w:val="26"/>
          <w:szCs w:val="26"/>
        </w:rPr>
        <w:t xml:space="preserve">4.1. Trước ngày {o_30} hằng tháng, Bên B gửi Biên bản đối chiếu công nợ (Phụ lục 03) chi tiết theo từng đơn hàng/công trình. Bên A ký xác nhận hoặc phản hồi trong vòng {o_31} ngày; quá hạn không phản hồi, số liệu của Bên B được coi là đã được chấp nhận.</w:t>
      </w:r>
    </w:p>
    <w:p>
      <w:pPr>
        <w:spacing w:after="80" w:before="40" w:line="288"/>
        <w:jc w:val="both"/>
      </w:pPr>
      <w:r>
        <w:rPr>
          <w:rFonts w:ascii="Times New Roman" w:cs="Times New Roman" w:eastAsia="Times New Roman" w:hAnsi="Times New Roman"/>
          <w:sz w:val="26"/>
          <w:szCs w:val="26"/>
        </w:rPr>
        <w:t xml:space="preserve">4.2. Biên bản đối chiếu công nợ cuối năm là căn cứ để các bên quyết toán năm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5. Giao nhận, chất lượng, bảo hành</w:t>
      </w:r>
    </w:p>
    <w:p>
      <w:pPr>
        <w:spacing w:after="80" w:before="40" w:line="288"/>
        <w:jc w:val="both"/>
      </w:pPr>
      <w:r>
        <w:rPr>
          <w:rFonts w:ascii="Times New Roman" w:cs="Times New Roman" w:eastAsia="Times New Roman" w:hAnsi="Times New Roman"/>
          <w:sz w:val="26"/>
          <w:szCs w:val="26"/>
        </w:rPr>
        <w:t xml:space="preserve">Áp dụng như Điều 3, 4, 7 của Mẫu hợp đồng mua bán NVS-HĐ-01 và Điều 5, 6 của Mẫu hợp đồng cho thuê NVS-HĐ-02. Mọi lần giao nhận/thu hồi phải có biên bản ghi rõ số Đơn đặt hàng và mã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6. Quyền sở hữu</w:t>
      </w:r>
    </w:p>
    <w:p>
      <w:pPr>
        <w:spacing w:after="80" w:before="40" w:line="288"/>
        <w:jc w:val="both"/>
      </w:pPr>
      <w:r>
        <w:rPr>
          <w:rFonts w:ascii="Times New Roman" w:cs="Times New Roman" w:eastAsia="Times New Roman" w:hAnsi="Times New Roman"/>
          <w:sz w:val="26"/>
          <w:szCs w:val="26"/>
        </w:rPr>
        <w:t xml:space="preserve">Hàng hóa bán thuộc quyền sở hữu của Bên B cho đến khi Bên A thanh toán đủ giá trị đơn hàng tương ứng. Tài sản cho thuê luôn thuộc quyền sở hữu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7. Phạt vi phạm</w:t>
      </w:r>
    </w:p>
    <w:p>
      <w:pPr>
        <w:spacing w:after="80" w:before="40" w:line="288"/>
        <w:jc w:val="both"/>
      </w:pPr>
      <w:r>
        <w:rPr>
          <w:rFonts w:ascii="Times New Roman" w:cs="Times New Roman" w:eastAsia="Times New Roman" w:hAnsi="Times New Roman"/>
          <w:sz w:val="26"/>
          <w:szCs w:val="26"/>
        </w:rPr>
        <w:t xml:space="preserve">Mức phạt cụ thể theo điều kiện của từng loại giao dịch; tổng mức phạt không vượt quá 8% giá trị phần nghĩa vụ bị vi phạm (Điều 301 Luật Thương mại).</w:t>
      </w:r>
    </w:p>
    <w:p>
      <w:pPr>
        <w:pStyle w:val="Heading2"/>
        <w:keepNext/>
        <w:spacing w:after="80" w:before="200" w:line="288"/>
        <w:jc w:val="both"/>
      </w:pPr>
      <w:r>
        <w:rPr>
          <w:rFonts w:ascii="Times New Roman" w:cs="Times New Roman" w:eastAsia="Times New Roman" w:hAnsi="Times New Roman"/>
          <w:b/>
          <w:bCs/>
          <w:sz w:val="26"/>
          <w:szCs w:val="26"/>
        </w:rPr>
        <w:t xml:space="preserve">Điều 8. Thời hạn và chấm dứt</w:t>
      </w:r>
    </w:p>
    <w:p>
      <w:pPr>
        <w:spacing w:after="80" w:before="40" w:line="288"/>
        <w:jc w:val="both"/>
      </w:pPr>
      <w:r>
        <w:rPr>
          <w:rFonts w:ascii="Times New Roman" w:cs="Times New Roman" w:eastAsia="Times New Roman" w:hAnsi="Times New Roman"/>
          <w:sz w:val="26"/>
          <w:szCs w:val="26"/>
        </w:rPr>
        <w:t xml:space="preserve">8.1. Thời hạn hợp đồng: </w:t>
      </w:r>
      <w:r>
        <w:rPr>
          <w:rFonts w:ascii="Times New Roman" w:cs="Times New Roman" w:eastAsia="Times New Roman" w:hAnsi="Times New Roman"/>
          <w:b/>
          <w:bCs/>
          <w:sz w:val="26"/>
          <w:szCs w:val="26"/>
        </w:rPr>
        <w:t xml:space="preserve">12 tháng</w:t>
      </w:r>
      <w:r>
        <w:rPr>
          <w:rFonts w:ascii="Times New Roman" w:cs="Times New Roman" w:eastAsia="Times New Roman" w:hAnsi="Times New Roman"/>
          <w:sz w:val="26"/>
          <w:szCs w:val="26"/>
        </w:rPr>
        <w:t xml:space="preserve"> kể từ ngày ký; tự động gia hạn từng 12 tháng nếu không bên nào thông báo chấm dứt trước {o_32} ngày.</w:t>
      </w:r>
    </w:p>
    <w:p>
      <w:pPr>
        <w:spacing w:after="80" w:before="40" w:line="288"/>
        <w:jc w:val="both"/>
      </w:pPr>
      <w:r>
        <w:rPr>
          <w:rFonts w:ascii="Times New Roman" w:cs="Times New Roman" w:eastAsia="Times New Roman" w:hAnsi="Times New Roman"/>
          <w:sz w:val="26"/>
          <w:szCs w:val="26"/>
        </w:rPr>
        <w:t xml:space="preserve">8.2. Mỗi bên được chấm dứt hợp đồng nguyên tắc với thông báo trước {o_33} ngày. Các Đơn đặt hàng đã xác nhận vẫn tiếp tục được thực hiện; công nợ được thanh toán đầy đủ trước khi thanh lý.</w:t>
      </w:r>
    </w:p>
    <w:p>
      <w:pPr>
        <w:pStyle w:val="Heading2"/>
        <w:keepNext/>
        <w:spacing w:after="80" w:before="200" w:line="288"/>
        <w:jc w:val="both"/>
      </w:pPr>
      <w:r>
        <w:rPr>
          <w:rFonts w:ascii="Times New Roman" w:cs="Times New Roman" w:eastAsia="Times New Roman" w:hAnsi="Times New Roman"/>
          <w:b/>
          <w:bCs/>
          <w:sz w:val="26"/>
          <w:szCs w:val="26"/>
        </w:rPr>
        <w:t xml:space="preserve">Điều 9. Thông báo và đại diện liên lạc</w:t>
      </w:r>
    </w:p>
    <w:p>
      <w:pPr>
        <w:spacing w:after="80" w:before="40" w:line="288"/>
        <w:jc w:val="both"/>
      </w:pPr>
      <w:r>
        <w:rPr>
          <w:rFonts w:ascii="Times New Roman" w:cs="Times New Roman" w:eastAsia="Times New Roman" w:hAnsi="Times New Roman"/>
          <w:sz w:val="26"/>
          <w:szCs w:val="26"/>
        </w:rPr>
        <w:t xml:space="preserve">9.1.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9.2. Đại diện liên lạc: Bên A: {o_34} – ĐT: {o_35} – Email: {o_36}; Bên B: {o_37} – ĐT: {o_38} – Email: {o_39}</w:t>
      </w:r>
    </w:p>
    <w:p>
      <w:pPr>
        <w:spacing w:after="80" w:before="40" w:line="288"/>
        <w:jc w:val="both"/>
      </w:pPr>
      <w:r>
        <w:rPr>
          <w:rFonts w:ascii="Times New Roman" w:cs="Times New Roman" w:eastAsia="Times New Roman" w:hAnsi="Times New Roman"/>
          <w:sz w:val="26"/>
          <w:szCs w:val="26"/>
        </w:rPr>
        <w:t xml:space="preserve">9.3. Tin nhắn qua ứng dụng (Zalo, {o_40}) chỉ dùng để trao đổi điều hành, không thay thế văn bản đối với các nội dung về giá, khối lượng phát sinh, tiến độ và chấm dứt hợp đồng.</w:t>
      </w:r>
    </w:p>
    <w:p>
      <w:pPr>
        <w:spacing w:after="80" w:before="40" w:line="288"/>
        <w:jc w:val="both"/>
      </w:pPr>
      <w:r>
        <w:rPr>
          <w:rFonts w:ascii="Times New Roman" w:cs="Times New Roman" w:eastAsia="Times New Roman" w:hAnsi="Times New Roman"/>
          <w:sz w:val="26"/>
          <w:szCs w:val="26"/>
        </w:rPr>
        <w:t xml:space="preserve">9.4. Danh sách người có thẩm quyền đặt hàng và ký biên bản giao nhận của Bên A: {o_41} (Bên A thông báo bằng văn bản khi thay đổi).</w:t>
      </w:r>
    </w:p>
    <w:p>
      <w:pPr>
        <w:pStyle w:val="Heading2"/>
        <w:keepNext/>
        <w:spacing w:after="80" w:before="200" w:line="288"/>
        <w:jc w:val="both"/>
      </w:pPr>
      <w:r>
        <w:rPr>
          <w:rFonts w:ascii="Times New Roman" w:cs="Times New Roman" w:eastAsia="Times New Roman" w:hAnsi="Times New Roman"/>
          <w:b/>
          <w:bCs/>
          <w:sz w:val="26"/>
          <w:szCs w:val="26"/>
        </w:rPr>
        <w:t xml:space="preserve">Điều 10.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10.1.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10.2.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10.3.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10.4. Nếu sự kiện bất khả kháng kéo dài quá {o_42}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10.5. Khi hoàn cảnh thay đổi cơ bản theo Điều 420 Bộ luật Dân sự (ví dụ: giá vật liệu chính biến động bất thường vượt quá {o_43}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11. Giải quyết tranh chấp</w:t>
      </w:r>
    </w:p>
    <w:p>
      <w:pPr>
        <w:spacing w:after="80" w:before="40" w:line="288"/>
        <w:jc w:val="both"/>
      </w:pPr>
      <w:r>
        <w:rPr>
          <w:rFonts w:ascii="Times New Roman" w:cs="Times New Roman" w:eastAsia="Times New Roman" w:hAnsi="Times New Roman"/>
          <w:sz w:val="26"/>
          <w:szCs w:val="26"/>
        </w:rPr>
        <w:t xml:space="preserve">11.1.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11.2.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11.3.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Hiệu lực và điều khoản thi hành</w:t>
      </w:r>
    </w:p>
    <w:p>
      <w:pPr>
        <w:spacing w:after="80" w:before="40" w:line="288"/>
        <w:jc w:val="both"/>
      </w:pPr>
      <w:r>
        <w:rPr>
          <w:rFonts w:ascii="Times New Roman" w:cs="Times New Roman" w:eastAsia="Times New Roman" w:hAnsi="Times New Roman"/>
          <w:sz w:val="26"/>
          <w:szCs w:val="26"/>
        </w:rPr>
        <w:t xml:space="preserve">12.1. Hợp đồng có hiệu lực kể từ {c_1}.</w:t>
      </w:r>
    </w:p>
    <w:p>
      <w:pPr>
        <w:spacing w:after="80" w:before="40" w:line="288"/>
        <w:jc w:val="both"/>
      </w:pPr>
      <w:r>
        <w:rPr>
          <w:rFonts w:ascii="Times New Roman" w:cs="Times New Roman" w:eastAsia="Times New Roman" w:hAnsi="Times New Roman"/>
          <w:sz w:val="26"/>
          <w:szCs w:val="26"/>
        </w:rPr>
        <w:t xml:space="preserve">12.2.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12.3.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giá áp dụng; Phụ lục 02 – Mẫu Đơn đặt hàng; Phụ lục 03 – Mẫu Biên bản đối chiếu công nợ.</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02 – ĐƠN ĐẶT HÀNG</w:t>
      </w:r>
    </w:p>
    <w:p>
      <w:pPr>
        <w:spacing w:after="160" w:before="0" w:line="288"/>
        <w:jc w:val="center"/>
      </w:pPr>
      <w:r>
        <w:rPr>
          <w:rFonts w:ascii="Times New Roman" w:cs="Times New Roman" w:eastAsia="Times New Roman" w:hAnsi="Times New Roman"/>
          <w:i/>
          <w:iCs/>
          <w:sz w:val="26"/>
          <w:szCs w:val="26"/>
        </w:rPr>
        <w:t xml:space="preserve">Số: {o_44}/ĐĐH – Theo Hợp đồng nguyên tắc số {o_45} ngày {o_46}</w:t>
      </w:r>
    </w:p>
    <w:p>
      <w:pPr>
        <w:spacing w:after="80" w:before="40" w:line="288"/>
        <w:jc w:val="both"/>
      </w:pPr>
      <w:r>
        <w:rPr>
          <w:rFonts w:ascii="Times New Roman" w:cs="Times New Roman" w:eastAsia="Times New Roman" w:hAnsi="Times New Roman"/>
          <w:sz w:val="26"/>
          <w:szCs w:val="26"/>
        </w:rPr>
        <w:t xml:space="preserve">Kính gửi: CÔNG TY TNHH SẢN XUẤT VÀ THƯƠNG MẠI KẾT CẤU THÉP NHÀ VIỆT – NHÀ VIỆT STEEL (NVS)</w:t>
      </w:r>
    </w:p>
    <w:p>
      <w:pPr>
        <w:spacing w:after="80" w:before="40" w:line="288"/>
        <w:jc w:val="both"/>
      </w:pPr>
      <w:r>
        <w:rPr>
          <w:rFonts w:ascii="Times New Roman" w:cs="Times New Roman" w:eastAsia="Times New Roman" w:hAnsi="Times New Roman"/>
          <w:sz w:val="26"/>
          <w:szCs w:val="26"/>
        </w:rPr>
        <w:t xml:space="preserve">Bên A: {o_47} Người đặt hàng: {o_48} ĐT: {o_49} Email: {o_50}</w:t>
      </w:r>
    </w:p>
    <w:p>
      <w:pPr>
        <w:spacing w:after="80" w:before="40" w:line="288"/>
        <w:jc w:val="both"/>
      </w:pPr>
      <w:r>
        <w:rPr>
          <w:rFonts w:ascii="Times New Roman" w:cs="Times New Roman" w:eastAsia="Times New Roman" w:hAnsi="Times New Roman"/>
          <w:sz w:val="26"/>
          <w:szCs w:val="26"/>
        </w:rPr>
        <w:t xml:space="preserve">Công trình/mã công trình: {o_51} Địa điểm giao: {o_52}</w:t>
      </w:r>
    </w:p>
    <w:p>
      <w:pPr>
        <w:spacing w:after="80" w:before="40" w:line="288"/>
        <w:jc w:val="both"/>
      </w:pPr>
      <w:r>
        <w:rPr>
          <w:rFonts w:ascii="Times New Roman" w:cs="Times New Roman" w:eastAsia="Times New Roman" w:hAnsi="Times New Roman"/>
          <w:sz w:val="26"/>
          <w:szCs w:val="26"/>
        </w:rPr>
        <w:t xml:space="preserve">Loại giao dịch: ☐ Mua  ☐ Thuê (thời gian dự kiến {o_53} ngày/tháng)  ☐ Gia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3112"/>
        <w:gridCol w:w="889"/>
        <w:gridCol w:w="889"/>
        <w:gridCol w:w="1333"/>
        <w:gridCol w:w="2226"/>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11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SL</w:t>
            </w:r>
          </w:p>
        </w:tc>
        <w:tc>
          <w:tcPr>
            <w:tcW w:type="dxa" w:w="133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222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1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1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1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Ngày giao yêu cầu: {o_54} /20{o_55} – Vận chuyển: ☐ Bên B  ☐ Bên A tự nhận tại kho</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NGƯỜI ĐẶT HÀNG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XÁC NHẬN CỦA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03 – BIÊN BẢN ĐỐI CHIẾU CÔNG NỢ</w:t>
      </w:r>
    </w:p>
    <w:p>
      <w:pPr>
        <w:spacing w:after="160" w:before="0" w:line="288"/>
        <w:jc w:val="center"/>
      </w:pPr>
      <w:r>
        <w:rPr>
          <w:rFonts w:ascii="Times New Roman" w:cs="Times New Roman" w:eastAsia="Times New Roman" w:hAnsi="Times New Roman"/>
          <w:i/>
          <w:iCs/>
          <w:sz w:val="26"/>
          <w:szCs w:val="26"/>
        </w:rPr>
        <w:t xml:space="preserve">Kỳ đối chiếu: từ {o_56} /20{o_57} đến {o_58} /20{o_59}</w:t>
      </w:r>
    </w:p>
    <w:p>
      <w:pPr>
        <w:spacing w:after="80" w:before="40" w:line="288"/>
        <w:jc w:val="both"/>
      </w:pPr>
      <w:r>
        <w:rPr>
          <w:rFonts w:ascii="Times New Roman" w:cs="Times New Roman" w:eastAsia="Times New Roman" w:hAnsi="Times New Roman"/>
          <w:sz w:val="26"/>
          <w:szCs w:val="26"/>
        </w:rPr>
        <w:t xml:space="preserve">Hôm nay, ngày {o_60} /20{o_61}, đại diện Bên A: {o_62} và Bên B: {o_63} cùng đối chiếu công nợ như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223"/>
        <w:gridCol w:w="1245"/>
        <w:gridCol w:w="1245"/>
        <w:gridCol w:w="1245"/>
        <w:gridCol w:w="1245"/>
        <w:gridCol w:w="1246"/>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22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Nội dung / công trình</w:t>
            </w:r>
          </w:p>
        </w:tc>
        <w:tc>
          <w:tcPr>
            <w:tcW w:type="dxa" w:w="124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dư đầu kỳ</w:t>
            </w:r>
          </w:p>
        </w:tc>
        <w:tc>
          <w:tcPr>
            <w:tcW w:type="dxa" w:w="124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Phát sinh tăng (hàng, thuê, bồi thường)</w:t>
            </w:r>
          </w:p>
        </w:tc>
        <w:tc>
          <w:tcPr>
            <w:tcW w:type="dxa" w:w="124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Đã thanh toán</w:t>
            </w:r>
          </w:p>
        </w:tc>
        <w:tc>
          <w:tcPr>
            <w:tcW w:type="dxa" w:w="124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Chiết khấu, điều chỉnh</w:t>
            </w:r>
          </w:p>
        </w:tc>
        <w:tc>
          <w:tcPr>
            <w:tcW w:type="dxa" w:w="124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dư cuối kỳ</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Kết luận: tính đến ngày {o_64} /20{o_65}, Bên A còn nợ Bên B số tiền: {o_66} đồng (Bằng chữ: {o_67}). Trong đó nợ quá hạn: {o_68} đồng.</w:t>
      </w:r>
    </w:p>
    <w:p>
      <w:pPr>
        <w:spacing w:after="80" w:before="40" w:line="288"/>
        <w:jc w:val="both"/>
      </w:pPr>
      <w:r>
        <w:rPr>
          <w:rFonts w:ascii="Times New Roman" w:cs="Times New Roman" w:eastAsia="Times New Roman" w:hAnsi="Times New Roman"/>
          <w:sz w:val="26"/>
          <w:szCs w:val="26"/>
        </w:rPr>
        <w:t xml:space="preserve">Số lượng tài sản thuê còn tại công trình của Bên A (theo bảng chi tiết kèm theo): {o_69}</w:t>
      </w:r>
    </w:p>
    <w:p>
      <w:pPr>
        <w:spacing w:after="80" w:before="40" w:line="288"/>
        <w:jc w:val="both"/>
      </w:pPr>
      <w:r>
        <w:rPr>
          <w:rFonts w:ascii="Times New Roman" w:cs="Times New Roman" w:eastAsia="Times New Roman" w:hAnsi="Times New Roman"/>
          <w:sz w:val="26"/>
          <w:szCs w:val="26"/>
        </w:rPr>
        <w:t xml:space="preserve">Ý kiến khác: {o_70}</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NVS-HĐ-04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NVS-HĐ-04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nguyên tắc mua bán, cho thuê với khách hàng thường xuyên</dc:title>
  <dc:creator>Nhà Việt Group</dc:creator>
  <cp:lastModifiedBy>Un-named</cp:lastModifiedBy>
  <cp:revision>1</cp:revision>
  <dcterms:created xsi:type="dcterms:W3CDTF">2026-10-21T09:23:13.363Z</dcterms:created>
  <dcterms:modified xsi:type="dcterms:W3CDTF">2026-10-21T09:23:13.363Z</dcterms:modified>
</cp:coreProperties>
</file>

<file path=docProps/custom.xml><?xml version="1.0" encoding="utf-8"?>
<Properties xmlns="http://schemas.openxmlformats.org/officeDocument/2006/custom-properties" xmlns:vt="http://schemas.openxmlformats.org/officeDocument/2006/docPropsVTypes"/>
</file>