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461" w:rsidRPr="00E0464E" w:rsidRDefault="00657461" w:rsidP="00657461">
      <w:pPr>
        <w:pStyle w:val="tahoma"/>
        <w:widowControl w:val="0"/>
        <w:rPr>
          <w:rFonts w:ascii="Calibri" w:hAnsi="Calibri"/>
          <w:b w:val="0"/>
          <w:i/>
          <w:iCs/>
          <w:sz w:val="21"/>
          <w:szCs w:val="21"/>
          <w:u w:val="none"/>
          <w:lang w:val="vi-VN"/>
          <w14:ligatures w14:val="none"/>
        </w:rPr>
      </w:pPr>
      <w:r w:rsidRPr="00E0464E">
        <w:rPr>
          <w:rFonts w:ascii="Calibri" w:hAnsi="Calibri"/>
          <w:b w:val="0"/>
          <w:i/>
          <w:iCs/>
          <w:sz w:val="21"/>
          <w:szCs w:val="21"/>
          <w:u w:val="none"/>
          <w:lang w:val="vi-VN"/>
          <w14:ligatures w14:val="none"/>
        </w:rPr>
        <w:t>Kính gửi Quý Khách hàng</w:t>
      </w:r>
    </w:p>
    <w:p w:rsidR="00657461" w:rsidRPr="00E0464E" w:rsidRDefault="00657461" w:rsidP="00657461">
      <w:pPr>
        <w:pStyle w:val="tahoma"/>
        <w:widowControl w:val="0"/>
        <w:rPr>
          <w:rFonts w:ascii="Calibri" w:hAnsi="Calibri"/>
          <w:b w:val="0"/>
          <w:sz w:val="21"/>
          <w:szCs w:val="21"/>
          <w:u w:val="none"/>
          <w:lang w:val="vi-VN"/>
          <w14:ligatures w14:val="none"/>
        </w:rPr>
      </w:pPr>
      <w:r w:rsidRPr="00E0464E">
        <w:rPr>
          <w:rFonts w:ascii="Calibri" w:hAnsi="Calibri"/>
          <w:b w:val="0"/>
          <w:sz w:val="21"/>
          <w:szCs w:val="21"/>
          <w:u w:val="none"/>
          <w:lang w:val="vi-VN"/>
          <w14:ligatures w14:val="none"/>
        </w:rPr>
        <w:t xml:space="preserve">Trung tâm Nghiên cứu, CTCP Chứng khoán KB Việt Nam (KBSV) kính gửi Quý Khách hàng </w:t>
      </w:r>
      <w:r w:rsidRPr="00E0464E">
        <w:rPr>
          <w:rFonts w:ascii="Calibri" w:hAnsi="Calibri"/>
          <w:sz w:val="21"/>
          <w:szCs w:val="21"/>
          <w:u w:val="none"/>
          <w:lang w:val="vi-VN"/>
          <w14:ligatures w14:val="none"/>
        </w:rPr>
        <w:t>Bản tin nhận định thị trường</w:t>
      </w:r>
      <w:r w:rsidRPr="00E0464E">
        <w:rPr>
          <w:rFonts w:ascii="Calibri" w:hAnsi="Calibri"/>
          <w:b w:val="0"/>
          <w:sz w:val="21"/>
          <w:szCs w:val="21"/>
          <w:u w:val="none"/>
          <w:lang w:val="vi-VN"/>
          <w14:ligatures w14:val="none"/>
        </w:rPr>
        <w:t xml:space="preserve"> ngày 01/06/2018:</w:t>
      </w:r>
    </w:p>
    <w:p w:rsidR="00657461" w:rsidRPr="00A12C6A" w:rsidRDefault="00657461" w:rsidP="00657461">
      <w:pPr>
        <w:spacing w:before="100" w:after="100" w:line="264" w:lineRule="auto"/>
        <w:ind w:right="14"/>
        <w:jc w:val="both"/>
        <w:rPr>
          <w:rFonts w:cs="Tahoma"/>
          <w:b/>
          <w:noProof/>
          <w:color w:val="002C57"/>
          <w:lang w:val="vi-VN"/>
        </w:rPr>
      </w:pPr>
      <w:r w:rsidRPr="00A12C6A">
        <w:rPr>
          <w:rFonts w:cs="Tahoma"/>
          <w:b/>
          <w:noProof/>
          <w:color w:val="002C57"/>
          <w:lang w:val="vi-VN"/>
        </w:rPr>
        <w:t>ĐIỂM NHẤN THỊ TRƯỜNG</w:t>
      </w:r>
    </w:p>
    <w:p w:rsidR="00657461" w:rsidRPr="00A12C6A" w:rsidRDefault="00657461" w:rsidP="00657461">
      <w:pPr>
        <w:spacing w:before="100" w:after="100" w:line="264" w:lineRule="auto"/>
        <w:jc w:val="both"/>
        <w:rPr>
          <w:color w:val="000000" w:themeColor="text1"/>
          <w:sz w:val="21"/>
          <w:szCs w:val="21"/>
          <w:lang w:val="vi-VN"/>
        </w:rPr>
      </w:pPr>
      <w:r w:rsidRPr="00A12C6A">
        <w:rPr>
          <w:color w:val="000000" w:themeColor="text1"/>
          <w:sz w:val="21"/>
          <w:szCs w:val="21"/>
          <w:lang w:val="vi-VN"/>
        </w:rPr>
        <w:t xml:space="preserve">Thị trường tăng điểm nhẹ trên tất các các chỉ số chính với sự phân hóa mạnh và thanh khoản giảm, đặc biệt ở nhóm cổ phiếu vốn hóa lớn. Độ rộng thị trường ở trạng thái tương đối cân bằng.   </w:t>
      </w:r>
    </w:p>
    <w:p w:rsidR="00657461" w:rsidRPr="00A12C6A" w:rsidRDefault="00657461" w:rsidP="00657461">
      <w:pPr>
        <w:spacing w:before="100" w:after="100" w:line="264" w:lineRule="auto"/>
        <w:jc w:val="both"/>
        <w:rPr>
          <w:color w:val="000000" w:themeColor="text1"/>
          <w:sz w:val="21"/>
          <w:szCs w:val="21"/>
          <w:lang w:val="vi-VN"/>
        </w:rPr>
      </w:pPr>
      <w:r w:rsidRPr="00A12C6A">
        <w:rPr>
          <w:color w:val="000000" w:themeColor="text1"/>
          <w:sz w:val="21"/>
          <w:szCs w:val="21"/>
          <w:lang w:val="vi-VN"/>
        </w:rPr>
        <w:t xml:space="preserve">Trên sàn HoSE, VIC trở lại với vai trò dẫn dắt sau thông tin phát hành riêng lẻ thành công 84 triệu cổ phần ưu đãi cho </w:t>
      </w:r>
      <w:r w:rsidRPr="00A12C6A">
        <w:rPr>
          <w:lang w:val="vi-VN"/>
        </w:rPr>
        <w:t xml:space="preserve">Hanwha Vietnam Opportunity Private Fund 1. Với sự hỗ trợ của bộ 3 cổ phiếu VHM(+1.8%)-VIC(+1.0%)-VRE(+1.6%) </w:t>
      </w:r>
      <w:r w:rsidRPr="00A12C6A">
        <w:rPr>
          <w:color w:val="000000" w:themeColor="text1"/>
          <w:sz w:val="21"/>
          <w:szCs w:val="21"/>
          <w:lang w:val="vi-VN"/>
        </w:rPr>
        <w:t xml:space="preserve">chỉ số Vnindex đã có phiên tăng điểm thứ 3 liên tiếp. Ngoài ra, một số cổ phiếu ngân hàng VCB(+1.1) BID(+1.7%)… cũng đóng góp đáng kể vào mức tăng của thị trường chung. Trong khi đó, trên sàn Hnx, các cổ phiếu vốn hóa lớn ACB(+1.1%) VCS(+1.8%) .. diễn biến tích cực, giúp chỉ số Hnxindex hồi phục nhẹ sau phiên điều chỉnh ngày hôm qua. </w:t>
      </w:r>
    </w:p>
    <w:p w:rsidR="00657461" w:rsidRPr="00A12C6A" w:rsidRDefault="00657461" w:rsidP="00657461">
      <w:pPr>
        <w:spacing w:before="100" w:after="100" w:line="264" w:lineRule="auto"/>
        <w:jc w:val="both"/>
        <w:rPr>
          <w:color w:val="000000" w:themeColor="text1"/>
          <w:sz w:val="21"/>
          <w:szCs w:val="21"/>
          <w:lang w:val="vi-VN"/>
        </w:rPr>
      </w:pPr>
      <w:r w:rsidRPr="00A12C6A">
        <w:rPr>
          <w:color w:val="000000" w:themeColor="text1"/>
          <w:sz w:val="21"/>
          <w:szCs w:val="21"/>
          <w:lang w:val="vi-VN"/>
        </w:rPr>
        <w:t xml:space="preserve">Nhóm ngành ngân hàng tiếp tục có diễn biến phân hóa mạnh trong phiên hôm nay với VCB (+1.8%) BID (+1.7%) tăng điểm .. trong khi CTG (-0.6%) HDB (-0.3%) và VPB -0.4%) … bất ngờ đảo chiều, giảm nhẹ cuối phiên. Diễn biến phân hóa tương tự cũng diễn ra ở các ngành chứng khoán, bất động sản.  </w:t>
      </w:r>
    </w:p>
    <w:p w:rsidR="00657461" w:rsidRPr="00A12C6A" w:rsidRDefault="00657461" w:rsidP="00657461">
      <w:pPr>
        <w:spacing w:before="100" w:after="100" w:line="264" w:lineRule="auto"/>
        <w:jc w:val="both"/>
        <w:rPr>
          <w:color w:val="000000" w:themeColor="text1"/>
          <w:sz w:val="21"/>
          <w:szCs w:val="21"/>
          <w:lang w:val="vi-VN"/>
        </w:rPr>
      </w:pPr>
      <w:r w:rsidRPr="00A12C6A">
        <w:rPr>
          <w:b/>
          <w:color w:val="000000" w:themeColor="text1"/>
          <w:sz w:val="21"/>
          <w:szCs w:val="21"/>
          <w:lang w:val="vi-VN"/>
        </w:rPr>
        <w:t>Lãi suất huy động tại một số NHTM gần đây đã tăng trở lại, nhất là ở kỳ hạn dài, sau khi liên tục giảm trong 6 tháng đầu năm 2018.</w:t>
      </w:r>
      <w:r w:rsidRPr="00A12C6A">
        <w:rPr>
          <w:color w:val="000000" w:themeColor="text1"/>
          <w:sz w:val="21"/>
          <w:szCs w:val="21"/>
          <w:lang w:val="vi-VN"/>
        </w:rPr>
        <w:t xml:space="preserve"> Cụ thể, Techcombank công bố biểu lãi suất mới áp dụng từ ngày 6/8, lãi suất ở các kỳ hạn dài từ 12-36 tháng tăng 0.1 điểm phần trăm, lên mức 6.5%/năm. MBBank vừa điều chỉnh lãi suất tiền gửi cho kỳ hạn 24 tháng là 7.5%/năm. VPBank cũng tăng lãi suất huy động cho các kỳ hạn 18, 24, 36 tháng thêm 0.2 điểm phần trăm lên mức 7.2-7.4%/năm... Lý giải việc các NHTM tăng lãi suất huy động, theo chúng tôi đánh giá, là do trong 7 tháng đầu năm tăng trưởng tín dụng (8%) tăng nhanh hơn so với tăng trưởng tốc độ huy động vốn (6%), trong khi nhu cầu vốn trong các tháng cuối năm thường tăng mạnh, các ngân hàng cần chuẩn bị vốn để đáp ứng nhu cầu. Mặt khác, các ngân hàng cũng cần chuẩn bị trước nguồn vốn trung-dài hạn cho Thông tư 19/2017-TTNHNN, chính thức được áp dụng từ ngày 1/1/2019, với yêu cầu tỷ lệ tối đa của nguồn vốn ngắn hạn được sử dụng cho vay trung hạn và dài hạn của ngân hàng là 40%, thay cho mức 45% hiện tại. Với biến động hiện tại của mặt bằng lãi suất huy động, cùng với diễn biến lạm phát tăng nhanh trong 2 tháng trở lại đây, chúng tôi cho rằng mục tiêu giảm lãi suất cho vay của Chính phủ để hỗ trợ doanh nghiệp sẽ gặp nhiều khó khăn. </w:t>
      </w:r>
    </w:p>
    <w:p w:rsidR="00657461" w:rsidRPr="00A12C6A" w:rsidRDefault="00657461" w:rsidP="00657461">
      <w:pPr>
        <w:rPr>
          <w:color w:val="000000" w:themeColor="text1"/>
          <w:sz w:val="21"/>
          <w:szCs w:val="21"/>
          <w:lang w:val="vi-VN"/>
        </w:rPr>
      </w:pPr>
      <w:r w:rsidRPr="00A12C6A">
        <w:rPr>
          <w:b/>
          <w:color w:val="000000" w:themeColor="text1"/>
          <w:sz w:val="21"/>
          <w:szCs w:val="21"/>
          <w:lang w:val="vi-VN"/>
        </w:rPr>
        <w:t xml:space="preserve">Mỹ và Trung Quốc sẽ bước vào vòng đánh thuế tiếp theo trị giá 16 tỷ USD, vào ngày hôm nay, trong bối cảnh hai phái đoàn đang nhóm họp nhằm tìm giải pháp cho cuộc chiến thương mại. </w:t>
      </w:r>
      <w:r w:rsidRPr="00A12C6A">
        <w:rPr>
          <w:color w:val="000000" w:themeColor="text1"/>
          <w:sz w:val="21"/>
          <w:szCs w:val="21"/>
          <w:lang w:val="vi-VN"/>
        </w:rPr>
        <w:t>Trên thực tế, cuộc đàm phán này được dự đoán khó có thể mang lại thay đổi chiến lược, giúp chấm dứt tình trạng căng thẳng thương mại giữa hai nước. Trung Quốc mới đây cũng đã đe dọa sẽ khiếu nại mức thuế mới của Mỹ lên WTO. Cùng với những căng thẳng chính trị khác vẫn tiếp tục gia tăng trên quy mô toàn cầu, chứng khoán Châu Á đã có 1 phiên giảm điểm với chỉ số MSCI khu vực Châu Á – Thái Bình Dương (trừ Nhật Bản) giảm -0.3%. Về thị trường ngoại hối, chỉ số DXY tăng 0.3%, lên mức 95.415 sau 6 phiên giảm điểm liên tục. NHTW Trung Quốc cũng đã ấn định tỷ giá tăng lên mức 6.8367 từ 6.8271. Tương tự, giá USD bán ra niêm yết tại Sở Giao dịch NHNN sáng nay là 23,308 đồng, tăng 4 đồng so với hôm qua. Giá USD tự do tăng nhẹ 10 đồng, giao dịch ở mức 23,480-23,510 đồng.</w:t>
      </w:r>
    </w:p>
    <w:p w:rsidR="00657461" w:rsidRPr="00657461" w:rsidRDefault="00657461" w:rsidP="00657461">
      <w:pPr>
        <w:spacing w:before="120" w:after="120"/>
        <w:jc w:val="both"/>
        <w:rPr>
          <w:rFonts w:cs="Tahoma"/>
          <w:b/>
          <w:color w:val="002C57"/>
          <w:sz w:val="21"/>
          <w:szCs w:val="21"/>
          <w:lang w:val="vi-VN"/>
        </w:rPr>
      </w:pPr>
      <w:r w:rsidRPr="00657461">
        <w:rPr>
          <w:rFonts w:cs="Tahoma"/>
          <w:b/>
          <w:color w:val="002C57"/>
          <w:sz w:val="21"/>
          <w:szCs w:val="21"/>
          <w:lang w:val="vi-VN"/>
        </w:rPr>
        <w:t>Quan điểm đầu tư</w:t>
      </w:r>
    </w:p>
    <w:p w:rsidR="00657461" w:rsidRPr="00657461" w:rsidRDefault="00657461" w:rsidP="00657461">
      <w:pPr>
        <w:pStyle w:val="NormalWeb"/>
        <w:spacing w:before="120" w:beforeAutospacing="0" w:after="120" w:afterAutospacing="0" w:line="276" w:lineRule="auto"/>
        <w:jc w:val="both"/>
        <w:rPr>
          <w:rFonts w:asciiTheme="minorHAnsi" w:hAnsiTheme="minorHAnsi"/>
          <w:color w:val="000000" w:themeColor="text1"/>
          <w:sz w:val="21"/>
          <w:szCs w:val="21"/>
          <w:lang w:val="vi-VN"/>
        </w:rPr>
      </w:pPr>
      <w:r w:rsidRPr="00657461">
        <w:rPr>
          <w:rFonts w:asciiTheme="minorHAnsi" w:hAnsiTheme="minorHAnsi"/>
          <w:color w:val="000000" w:themeColor="text1"/>
          <w:sz w:val="21"/>
          <w:szCs w:val="21"/>
          <w:lang w:val="vi-VN"/>
        </w:rPr>
        <w:t>Sự phục hồi của nhóm cổ phiếu vốn hóa lớn đã đưa thị trường thoát khỏi xu hướng giảm giá trung-dài hạn và trở về trạng thái cân bằng. Dòng tiền tiếp tục tập trung mạnh trong nhóm cổ phiếu vốn hóa lớn, có xu hướng đẩy sự phân hóa đến mức bất hợp lý. Trong những phiên gần đây, nhóm ngân hàng nổi lên là điểm thu hút dòng tiền nhưng rủi ro tiềm ẩn vẫn ở mức cao khi các cổ phiếu vốn hóa lớn luân phiên xuất hiện những phiên biến động với biên độ cao.</w:t>
      </w:r>
    </w:p>
    <w:p w:rsidR="00657461" w:rsidRPr="00657461" w:rsidRDefault="00657461" w:rsidP="00657461">
      <w:pPr>
        <w:pStyle w:val="NormalWeb"/>
        <w:spacing w:before="120" w:beforeAutospacing="0" w:after="120" w:afterAutospacing="0" w:line="276" w:lineRule="auto"/>
        <w:jc w:val="both"/>
        <w:rPr>
          <w:rFonts w:asciiTheme="minorHAnsi" w:hAnsiTheme="minorHAnsi"/>
          <w:color w:val="000000" w:themeColor="text1"/>
          <w:sz w:val="21"/>
          <w:szCs w:val="21"/>
          <w:lang w:val="vi-VN"/>
        </w:rPr>
      </w:pPr>
      <w:r w:rsidRPr="00657461">
        <w:rPr>
          <w:rFonts w:asciiTheme="minorHAnsi" w:hAnsiTheme="minorHAnsi"/>
          <w:color w:val="000000" w:themeColor="text1"/>
          <w:sz w:val="21"/>
          <w:szCs w:val="21"/>
          <w:lang w:val="vi-VN"/>
        </w:rPr>
        <w:lastRenderedPageBreak/>
        <w:t xml:space="preserve">Với các diễn biến ngắn hạn, xu hướng tăng giá đang được các cổ phiếu vốn hóa lớn và nhóm ngân hàng luân phiên hỗ trợ nên chiến lược giao dịch ngắn hạn vẫn ưu tiên MUA những cổ phiếu dẫn dắt thị trường (Top 10 vốn hóa và các ngân hàng hàng đầu) Tuy nhiên, do phân hóa quá mạnh, thiếu sự đồng thuận trong hầu hết các nhóm/ngành cùng với hiện tượng sụt giảm bất ngờ của một vài cổ phiếu vốn hóa lớn/ có sức ảnh hưởng lớn đến thị trường xuất hiện trở lại nên cần cẩn trọng với khả năng đảo chiều giảm điểm bất ngờ có thể xảy ra trong những phiên giao dịch tới. </w:t>
      </w:r>
    </w:p>
    <w:p w:rsidR="00657461" w:rsidRPr="00657461" w:rsidRDefault="00657461" w:rsidP="00657461">
      <w:pPr>
        <w:pStyle w:val="NormalWeb"/>
        <w:spacing w:before="120" w:beforeAutospacing="0" w:after="120" w:afterAutospacing="0" w:line="276" w:lineRule="auto"/>
        <w:jc w:val="both"/>
        <w:rPr>
          <w:rFonts w:asciiTheme="minorHAnsi" w:hAnsiTheme="minorHAnsi"/>
          <w:color w:val="000000" w:themeColor="text1"/>
          <w:sz w:val="21"/>
          <w:szCs w:val="21"/>
          <w:lang w:val="vi-VN"/>
        </w:rPr>
      </w:pPr>
      <w:r w:rsidRPr="00657461">
        <w:rPr>
          <w:rFonts w:asciiTheme="minorHAnsi" w:hAnsiTheme="minorHAnsi"/>
          <w:color w:val="000000" w:themeColor="text1"/>
          <w:sz w:val="21"/>
          <w:szCs w:val="21"/>
          <w:lang w:val="vi-VN"/>
        </w:rPr>
        <w:t>Lưu ý: Sau phiên sụt giảm mạnh và bất ngờ của VPB @20/08/2018, VCB cũng đang xuất hiện các biến động kỹ thuật tiêu cực , có thể gây hiện tượng tương tự.</w:t>
      </w:r>
    </w:p>
    <w:p w:rsidR="00657461" w:rsidRPr="00657461" w:rsidRDefault="00657461" w:rsidP="00657461">
      <w:pPr>
        <w:rPr>
          <w:lang w:val="vi-VN"/>
        </w:rPr>
      </w:pPr>
      <w:r w:rsidRPr="00657461">
        <w:rPr>
          <w:lang w:val="vi-VN"/>
        </w:rPr>
        <w:t>Mã chứng khoán khuyến nghị: FPT, ACB, HPG, GMD, PVS.</w:t>
      </w:r>
    </w:p>
    <w:p w:rsidR="00657461" w:rsidRPr="00835B82" w:rsidRDefault="00657461" w:rsidP="00657461">
      <w:pPr>
        <w:spacing w:before="80" w:after="80" w:line="285" w:lineRule="auto"/>
        <w:jc w:val="both"/>
        <w:rPr>
          <w:rFonts w:ascii="Calibri" w:hAnsi="Calibri" w:cs="Tahoma"/>
          <w:sz w:val="21"/>
          <w:szCs w:val="21"/>
          <w:lang w:val="vi-VN"/>
        </w:rPr>
      </w:pPr>
      <w:hyperlink r:id="rId4" w:history="1">
        <w:r w:rsidRPr="00835B82">
          <w:rPr>
            <w:rStyle w:val="Hyperlink"/>
            <w:rFonts w:ascii="Calibri" w:hAnsi="Calibri" w:cs="Tahoma"/>
            <w:sz w:val="21"/>
            <w:szCs w:val="21"/>
            <w:lang w:val="vi-VN"/>
          </w:rPr>
          <w:t>Vui lòng bấm vào đây để xem nội dung chi tiết</w:t>
        </w:r>
      </w:hyperlink>
    </w:p>
    <w:p w:rsidR="00657461" w:rsidRPr="00835B82" w:rsidRDefault="00657461" w:rsidP="00657461">
      <w:pPr>
        <w:spacing w:before="80" w:after="80" w:line="285" w:lineRule="auto"/>
        <w:jc w:val="both"/>
        <w:rPr>
          <w:rFonts w:ascii="Calibri" w:hAnsi="Calibri" w:cs="Tahoma"/>
          <w:sz w:val="21"/>
          <w:szCs w:val="21"/>
          <w:lang w:val="vi-VN"/>
        </w:rPr>
      </w:pPr>
      <w:hyperlink r:id="rId5" w:history="1">
        <w:r w:rsidRPr="00835B82">
          <w:rPr>
            <w:rStyle w:val="Hyperlink"/>
            <w:rFonts w:ascii="Calibri" w:hAnsi="Calibri" w:cs="Tahoma"/>
            <w:sz w:val="21"/>
            <w:szCs w:val="21"/>
            <w:lang w:val="vi-VN"/>
          </w:rPr>
          <w:t>Vui lòng bấm vào đây để kết nối và tương tác với KBSV trên Facebook</w:t>
        </w:r>
      </w:hyperlink>
    </w:p>
    <w:p w:rsidR="00657461" w:rsidRDefault="00657461" w:rsidP="00657461">
      <w:pPr>
        <w:spacing w:before="80" w:after="80" w:line="285" w:lineRule="auto"/>
        <w:jc w:val="both"/>
        <w:rPr>
          <w:rFonts w:ascii="Calibri" w:hAnsi="Calibri" w:cs="Tahoma"/>
          <w:sz w:val="21"/>
          <w:szCs w:val="21"/>
          <w:lang w:val="vi-VN"/>
        </w:rPr>
      </w:pPr>
      <w:r w:rsidRPr="00835B82">
        <w:rPr>
          <w:rFonts w:ascii="Calibri" w:hAnsi="Calibri" w:cs="Tahoma"/>
          <w:sz w:val="21"/>
          <w:szCs w:val="21"/>
          <w:lang w:val="vi-VN"/>
        </w:rPr>
        <w:t>Trân trọng,</w:t>
      </w:r>
    </w:p>
    <w:p w:rsidR="00657461" w:rsidRPr="00835B82" w:rsidRDefault="00657461" w:rsidP="00657461">
      <w:pPr>
        <w:spacing w:before="80" w:after="80" w:line="285" w:lineRule="auto"/>
        <w:jc w:val="both"/>
        <w:rPr>
          <w:rFonts w:ascii="Calibri" w:hAnsi="Calibri" w:cs="Tahoma"/>
          <w:sz w:val="21"/>
          <w:szCs w:val="21"/>
          <w:lang w:val="vi-VN"/>
        </w:rPr>
      </w:pPr>
      <w:r>
        <w:rPr>
          <w:rFonts w:ascii="Calibri" w:hAnsi="Calibri" w:cs="Tahoma"/>
          <w:noProof/>
          <w:sz w:val="21"/>
          <w:szCs w:val="21"/>
          <w:lang w:eastAsia="ja-JP"/>
        </w:rPr>
        <w:drawing>
          <wp:inline distT="0" distB="0" distL="0" distR="0" wp14:anchorId="0A90F4CC" wp14:editId="760BFDF6">
            <wp:extent cx="5611379" cy="768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BSV_Logo nguyen b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1379" cy="768098"/>
                    </a:xfrm>
                    <a:prstGeom prst="rect">
                      <a:avLst/>
                    </a:prstGeom>
                  </pic:spPr>
                </pic:pic>
              </a:graphicData>
            </a:graphic>
          </wp:inline>
        </w:drawing>
      </w:r>
    </w:p>
    <w:p w:rsidR="00657461" w:rsidRPr="00835B82" w:rsidRDefault="00657461" w:rsidP="00657461">
      <w:pPr>
        <w:spacing w:before="80" w:after="80" w:line="285" w:lineRule="auto"/>
        <w:jc w:val="both"/>
        <w:rPr>
          <w:rFonts w:ascii="Calibri" w:hAnsi="Calibri" w:cs="Tahoma"/>
          <w:b/>
          <w:bCs/>
          <w:sz w:val="21"/>
          <w:szCs w:val="21"/>
          <w:lang w:val="vi-VN"/>
        </w:rPr>
      </w:pPr>
      <w:r w:rsidRPr="00835B82">
        <w:rPr>
          <w:rFonts w:ascii="Calibri" w:hAnsi="Calibri" w:cs="Tahoma"/>
          <w:b/>
          <w:bCs/>
          <w:sz w:val="21"/>
          <w:szCs w:val="21"/>
          <w:lang w:val="vi-VN"/>
        </w:rPr>
        <w:t xml:space="preserve">CÔNG TY CỔ PHẦN CHỨNG KHOÁN KB VIỆT NAM (KBSV) </w:t>
      </w:r>
    </w:p>
    <w:p w:rsidR="00657461" w:rsidRPr="00835B82" w:rsidRDefault="00657461" w:rsidP="00657461">
      <w:pPr>
        <w:spacing w:before="80" w:after="80" w:line="285" w:lineRule="auto"/>
        <w:jc w:val="both"/>
        <w:rPr>
          <w:rFonts w:ascii="Calibri" w:hAnsi="Calibri" w:cs="Tahoma"/>
          <w:sz w:val="21"/>
          <w:szCs w:val="21"/>
        </w:rPr>
      </w:pPr>
      <w:r w:rsidRPr="00835B82">
        <w:rPr>
          <w:rFonts w:ascii="Calibri" w:hAnsi="Calibri" w:cs="Tahoma"/>
          <w:sz w:val="21"/>
          <w:szCs w:val="21"/>
        </w:rPr>
        <w:t xml:space="preserve">Website: </w:t>
      </w:r>
      <w:hyperlink r:id="rId7" w:history="1">
        <w:r w:rsidRPr="00835B82">
          <w:rPr>
            <w:rStyle w:val="Hyperlink"/>
            <w:rFonts w:ascii="Calibri" w:hAnsi="Calibri" w:cs="Tahoma"/>
            <w:sz w:val="21"/>
            <w:szCs w:val="21"/>
          </w:rPr>
          <w:t>www.kbsec.com.vn</w:t>
        </w:r>
      </w:hyperlink>
    </w:p>
    <w:p w:rsidR="00657461" w:rsidRPr="00835B82" w:rsidRDefault="00657461" w:rsidP="00657461">
      <w:pPr>
        <w:spacing w:before="80" w:after="80" w:line="285" w:lineRule="auto"/>
        <w:jc w:val="both"/>
        <w:rPr>
          <w:rFonts w:ascii="Calibri" w:hAnsi="Calibri" w:cs="Tahoma"/>
          <w:b/>
          <w:bCs/>
          <w:sz w:val="21"/>
          <w:szCs w:val="21"/>
        </w:rPr>
      </w:pPr>
      <w:r w:rsidRPr="00835B82">
        <w:rPr>
          <w:rFonts w:ascii="Calibri" w:hAnsi="Calibri" w:cs="Tahoma"/>
          <w:b/>
          <w:bCs/>
          <w:sz w:val="21"/>
          <w:szCs w:val="21"/>
        </w:rPr>
        <w:t xml:space="preserve">Trụ sở chính: </w:t>
      </w:r>
    </w:p>
    <w:p w:rsidR="00657461" w:rsidRPr="00835B82" w:rsidRDefault="00657461" w:rsidP="00657461">
      <w:pPr>
        <w:spacing w:before="80" w:after="80" w:line="285" w:lineRule="auto"/>
        <w:jc w:val="both"/>
        <w:rPr>
          <w:rFonts w:ascii="Calibri" w:hAnsi="Calibri" w:cs="Tahoma"/>
          <w:bCs/>
          <w:sz w:val="21"/>
          <w:szCs w:val="21"/>
        </w:rPr>
      </w:pPr>
      <w:r w:rsidRPr="00835B82">
        <w:rPr>
          <w:rFonts w:ascii="Calibri" w:hAnsi="Calibri" w:cs="Tahoma"/>
          <w:bCs/>
          <w:sz w:val="21"/>
          <w:szCs w:val="21"/>
        </w:rPr>
        <w:t>Tầng 1&amp;3, Sky City Tower Láng Hạ, 88 Láng Hạ, Đống Đa, Hà Nội</w:t>
      </w:r>
    </w:p>
    <w:p w:rsidR="00657461" w:rsidRPr="00835B82" w:rsidRDefault="00657461" w:rsidP="00657461">
      <w:pPr>
        <w:spacing w:before="80" w:after="80" w:line="285" w:lineRule="auto"/>
        <w:jc w:val="both"/>
        <w:rPr>
          <w:rFonts w:ascii="Calibri" w:hAnsi="Calibri" w:cs="Tahoma"/>
          <w:bCs/>
          <w:sz w:val="21"/>
          <w:szCs w:val="21"/>
        </w:rPr>
      </w:pPr>
      <w:r w:rsidRPr="00835B82">
        <w:rPr>
          <w:rFonts w:ascii="Calibri" w:hAnsi="Calibri" w:cs="Tahoma"/>
          <w:bCs/>
          <w:sz w:val="21"/>
          <w:szCs w:val="21"/>
        </w:rPr>
        <w:t xml:space="preserve">Điện thoại: (+84) 24 7303 5333 - </w:t>
      </w:r>
      <w:r w:rsidRPr="00835B82">
        <w:rPr>
          <w:rFonts w:ascii="Calibri" w:hAnsi="Calibri" w:cs="Tahoma"/>
          <w:sz w:val="21"/>
          <w:szCs w:val="21"/>
        </w:rPr>
        <w:t>Fax: (+84) 24 3776 5928</w:t>
      </w:r>
    </w:p>
    <w:p w:rsidR="00657461" w:rsidRPr="00835B82" w:rsidRDefault="00657461" w:rsidP="00657461">
      <w:pPr>
        <w:spacing w:before="80" w:after="80" w:line="285" w:lineRule="auto"/>
        <w:jc w:val="both"/>
        <w:rPr>
          <w:rFonts w:ascii="Calibri" w:hAnsi="Calibri" w:cs="Tahoma"/>
          <w:b/>
          <w:bCs/>
          <w:sz w:val="21"/>
          <w:szCs w:val="21"/>
        </w:rPr>
      </w:pPr>
      <w:r w:rsidRPr="00835B82">
        <w:rPr>
          <w:rFonts w:ascii="Calibri" w:hAnsi="Calibri" w:cs="Tahoma"/>
          <w:b/>
          <w:bCs/>
          <w:sz w:val="21"/>
          <w:szCs w:val="21"/>
        </w:rPr>
        <w:t>Chi nhánh Hà Nội:</w:t>
      </w:r>
    </w:p>
    <w:p w:rsidR="00657461" w:rsidRPr="00835B82" w:rsidRDefault="00657461" w:rsidP="00657461">
      <w:pPr>
        <w:spacing w:before="80" w:after="80" w:line="285" w:lineRule="auto"/>
        <w:jc w:val="both"/>
        <w:rPr>
          <w:rFonts w:ascii="Calibri" w:hAnsi="Calibri" w:cs="Tahoma"/>
          <w:bCs/>
          <w:sz w:val="21"/>
          <w:szCs w:val="21"/>
        </w:rPr>
      </w:pPr>
      <w:r w:rsidRPr="00835B82">
        <w:rPr>
          <w:rFonts w:ascii="Calibri" w:hAnsi="Calibri" w:cs="Tahoma"/>
          <w:bCs/>
          <w:sz w:val="21"/>
          <w:szCs w:val="21"/>
        </w:rPr>
        <w:t>Tầng 9, TNR Tower Hoàn Kiếm, Hoàn Kiếm, Hà Nội.</w:t>
      </w:r>
    </w:p>
    <w:p w:rsidR="00657461" w:rsidRPr="00835B82" w:rsidRDefault="00657461" w:rsidP="00657461">
      <w:pPr>
        <w:spacing w:before="80" w:after="80" w:line="285" w:lineRule="auto"/>
        <w:jc w:val="both"/>
        <w:rPr>
          <w:rFonts w:ascii="Calibri" w:hAnsi="Calibri" w:cs="Tahoma"/>
          <w:bCs/>
          <w:sz w:val="21"/>
          <w:szCs w:val="21"/>
        </w:rPr>
      </w:pPr>
      <w:r w:rsidRPr="00835B82">
        <w:rPr>
          <w:rFonts w:ascii="Calibri" w:hAnsi="Calibri" w:cs="Tahoma"/>
          <w:bCs/>
          <w:sz w:val="21"/>
          <w:szCs w:val="21"/>
        </w:rPr>
        <w:t xml:space="preserve">Điện thoại: (+84) 24 3776 5929 - </w:t>
      </w:r>
      <w:r w:rsidRPr="00835B82">
        <w:rPr>
          <w:rFonts w:ascii="Calibri" w:hAnsi="Calibri" w:cs="Tahoma"/>
          <w:sz w:val="21"/>
          <w:szCs w:val="21"/>
        </w:rPr>
        <w:t>Fax: (+84) 24 3822 3131</w:t>
      </w:r>
    </w:p>
    <w:p w:rsidR="00657461" w:rsidRPr="00835B82" w:rsidRDefault="00657461" w:rsidP="00657461">
      <w:pPr>
        <w:spacing w:before="80" w:after="80" w:line="285" w:lineRule="auto"/>
        <w:jc w:val="both"/>
        <w:rPr>
          <w:rFonts w:ascii="Calibri" w:hAnsi="Calibri" w:cs="Tahoma"/>
          <w:b/>
          <w:bCs/>
          <w:sz w:val="21"/>
          <w:szCs w:val="21"/>
        </w:rPr>
      </w:pPr>
      <w:r w:rsidRPr="00835B82">
        <w:rPr>
          <w:rFonts w:ascii="Calibri" w:hAnsi="Calibri" w:cs="Tahoma"/>
          <w:b/>
          <w:bCs/>
          <w:sz w:val="21"/>
          <w:szCs w:val="21"/>
        </w:rPr>
        <w:t>Chi nhánh TP Hồ Chí Minh:</w:t>
      </w:r>
    </w:p>
    <w:p w:rsidR="00657461" w:rsidRPr="00835B82" w:rsidRDefault="00657461" w:rsidP="00657461">
      <w:pPr>
        <w:spacing w:before="80" w:after="80" w:line="285" w:lineRule="auto"/>
        <w:jc w:val="both"/>
        <w:rPr>
          <w:rFonts w:ascii="Calibri" w:hAnsi="Calibri" w:cs="Tahoma"/>
          <w:sz w:val="21"/>
          <w:szCs w:val="21"/>
        </w:rPr>
      </w:pPr>
      <w:r w:rsidRPr="00835B82">
        <w:rPr>
          <w:rFonts w:ascii="Calibri" w:hAnsi="Calibri" w:cs="Tahoma"/>
          <w:sz w:val="21"/>
          <w:szCs w:val="21"/>
        </w:rPr>
        <w:t>Tầng 2, TNR Tower Nguyễn Công Trứ, 180-192 Nguyễn Công Trứ, Q1, TP. Hồ Chí Minh</w:t>
      </w:r>
    </w:p>
    <w:p w:rsidR="00657461" w:rsidRDefault="00657461" w:rsidP="00657461">
      <w:pPr>
        <w:spacing w:before="80" w:after="80" w:line="285" w:lineRule="auto"/>
        <w:jc w:val="both"/>
        <w:rPr>
          <w:rFonts w:ascii="Calibri" w:hAnsi="Calibri" w:cs="Tahoma"/>
          <w:sz w:val="21"/>
          <w:szCs w:val="21"/>
        </w:rPr>
      </w:pPr>
      <w:r w:rsidRPr="00835B82">
        <w:rPr>
          <w:rFonts w:ascii="Calibri" w:hAnsi="Calibri" w:cs="Tahoma"/>
          <w:sz w:val="21"/>
          <w:szCs w:val="21"/>
        </w:rPr>
        <w:t xml:space="preserve">Điện thoại: (+84) 28 7303 5333 </w:t>
      </w:r>
      <w:r w:rsidRPr="00835B82">
        <w:rPr>
          <w:rFonts w:ascii="Calibri" w:hAnsi="Calibri" w:cs="Tahoma"/>
          <w:bCs/>
          <w:sz w:val="21"/>
          <w:szCs w:val="21"/>
        </w:rPr>
        <w:t xml:space="preserve">- </w:t>
      </w:r>
      <w:r w:rsidRPr="00835B82">
        <w:rPr>
          <w:rFonts w:ascii="Calibri" w:hAnsi="Calibri" w:cs="Tahoma"/>
          <w:sz w:val="21"/>
          <w:szCs w:val="21"/>
        </w:rPr>
        <w:t>Fax: (+84) 28 3914 1969</w:t>
      </w:r>
    </w:p>
    <w:p w:rsidR="00657461" w:rsidRDefault="00657461" w:rsidP="00657461"/>
    <w:p w:rsidR="00984513" w:rsidRPr="00657461" w:rsidRDefault="00984513" w:rsidP="00657461">
      <w:bookmarkStart w:id="0" w:name="_GoBack"/>
      <w:bookmarkEnd w:id="0"/>
    </w:p>
    <w:sectPr w:rsidR="00984513" w:rsidRPr="0065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51"/>
    <w:rsid w:val="00544364"/>
    <w:rsid w:val="005E6D51"/>
    <w:rsid w:val="00657461"/>
    <w:rsid w:val="00984513"/>
    <w:rsid w:val="00DC3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A34104-4B20-46DC-BFEA-B94E9C84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eading1">
    <w:name w:val="heading 1"/>
    <w:basedOn w:val="Normal"/>
    <w:next w:val="Normal"/>
    <w:link w:val="Heading1Char"/>
    <w:uiPriority w:val="99"/>
    <w:qFormat/>
    <w:pPr>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Dates">
    <w:name w:val="Small Dates"/>
    <w:basedOn w:val="Normal"/>
    <w:uiPriority w:val="99"/>
    <w:pPr>
      <w:jc w:val="center"/>
    </w:pPr>
    <w:rPr>
      <w:rFonts w:ascii="Calibri" w:hAnsi="Calibri" w:cs="Calibri"/>
      <w:color w:val="7F7F7F"/>
      <w:sz w:val="20"/>
      <w:szCs w:val="20"/>
      <w:u w:color="000000"/>
    </w:rPr>
  </w:style>
  <w:style w:type="paragraph" w:customStyle="1" w:styleId="SmallWeekdays">
    <w:name w:val="Small Weekdays"/>
    <w:basedOn w:val="Normal"/>
    <w:uiPriority w:val="99"/>
    <w:pPr>
      <w:jc w:val="center"/>
    </w:pPr>
    <w:rPr>
      <w:rFonts w:ascii="Cambria" w:hAnsi="Cambria" w:cs="Cambria"/>
      <w:b/>
      <w:bCs/>
      <w:color w:val="7F7F7F"/>
      <w:sz w:val="16"/>
      <w:szCs w:val="16"/>
      <w:u w:color="000000"/>
    </w:rPr>
  </w:style>
  <w:style w:type="paragraph" w:customStyle="1" w:styleId="SmallMonth">
    <w:name w:val="Small Month"/>
    <w:basedOn w:val="Normal"/>
    <w:uiPriority w:val="99"/>
    <w:pPr>
      <w:jc w:val="center"/>
    </w:pPr>
    <w:rPr>
      <w:rFonts w:ascii="Cambria" w:hAnsi="Cambria" w:cs="Cambria"/>
      <w:b/>
      <w:bCs/>
      <w:color w:val="7F7F7F"/>
      <w:sz w:val="16"/>
      <w:szCs w:val="16"/>
      <w:u w:color="000000"/>
    </w:rPr>
  </w:style>
  <w:style w:type="character" w:customStyle="1" w:styleId="Heading1Char">
    <w:name w:val="Heading 1 Char"/>
    <w:basedOn w:val="DefaultParagraphFont"/>
    <w:link w:val="Heading1"/>
    <w:uiPriority w:val="99"/>
    <w:rPr>
      <w:rFonts w:ascii="Cambria" w:hAnsi="Cambria" w:cs="Cambria"/>
      <w:b/>
      <w:bCs/>
      <w:color w:val="000000"/>
      <w:sz w:val="32"/>
      <w:szCs w:val="32"/>
    </w:rPr>
  </w:style>
  <w:style w:type="character" w:styleId="LineNumber">
    <w:name w:val="line number"/>
    <w:basedOn w:val="DefaultParagraphFont"/>
    <w:uiPriority w:val="99"/>
    <w:rPr>
      <w:color w:val="000000"/>
    </w:rPr>
  </w:style>
  <w:style w:type="character" w:styleId="Hyperlink">
    <w:name w:val="Hyperlink"/>
    <w:basedOn w:val="DefaultParagraphFont"/>
    <w:uiPriority w:val="99"/>
    <w:rPr>
      <w:color w:val="0000FF"/>
      <w:u w:val="single"/>
    </w:rPr>
  </w:style>
  <w:style w:type="paragraph" w:customStyle="1" w:styleId="tahoma">
    <w:name w:val="tahoma"/>
    <w:basedOn w:val="Normal"/>
    <w:rsid w:val="00657461"/>
    <w:pPr>
      <w:widowControl/>
      <w:autoSpaceDE/>
      <w:autoSpaceDN/>
      <w:adjustRightInd/>
      <w:spacing w:before="60" w:after="60" w:line="300" w:lineRule="auto"/>
      <w:jc w:val="both"/>
    </w:pPr>
    <w:rPr>
      <w:rFonts w:ascii="Tahoma" w:eastAsia="Times New Roman" w:hAnsi="Tahoma" w:cs="Tahoma"/>
      <w:b/>
      <w:bCs/>
      <w:kern w:val="28"/>
      <w:sz w:val="20"/>
      <w:szCs w:val="20"/>
      <w:u w:val="single"/>
      <w14:ligatures w14:val="standard"/>
      <w14:cntxtAlts/>
    </w:rPr>
  </w:style>
  <w:style w:type="paragraph" w:styleId="NormalWeb">
    <w:name w:val="Normal (Web)"/>
    <w:basedOn w:val="Normal"/>
    <w:uiPriority w:val="99"/>
    <w:unhideWhenUsed/>
    <w:rsid w:val="00657461"/>
    <w:pPr>
      <w:widowControl/>
      <w:autoSpaceDE/>
      <w:autoSpaceDN/>
      <w:adjustRightInd/>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bsec.com.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acebook.com/kbsec.com.vn/" TargetMode="External"/><Relationship Id="rId4" Type="http://schemas.openxmlformats.org/officeDocument/2006/relationships/hyperlink" Target="https://www.kbsec.com.vn/DailyReport.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Zaitsev</dc:creator>
  <cp:lastModifiedBy>Thang Le Xuan</cp:lastModifiedBy>
  <cp:revision>3</cp:revision>
  <dcterms:created xsi:type="dcterms:W3CDTF">2011-06-02T09:22:00Z</dcterms:created>
  <dcterms:modified xsi:type="dcterms:W3CDTF">2018-09-10T04:58:00Z</dcterms:modified>
</cp:coreProperties>
</file>