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040" w:dyaOrig="4660">
          <v:rect xmlns:o="urn:schemas-microsoft-com:office:office" xmlns:v="urn:schemas-microsoft-com:vml" id="rectole0000000000" style="width:402.000000pt;height:233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Dib" DrawAspect="Content" ObjectID="0000000000" ShapeID="rectole0000000000" r:id="docRId0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B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ớ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 2: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640" w:dyaOrig="5089">
          <v:rect xmlns:o="urn:schemas-microsoft-com:office:office" xmlns:v="urn:schemas-microsoft-com:vml" id="rectole0000000001" style="width:432.000000pt;height:254.4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B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ớ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 3:</w:t>
        <w:tab/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ột vi phạm: Cột SoDienThoai.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Lý do: D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ạng chuẩn 1NF (First Normal Form) y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êu 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ầu mỗi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ô (giao gi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ữa 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àng và 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ột) chỉ chứa một gi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á tr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ị nguy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ố (Atomic Value)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xu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ấ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 gi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ả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 pháp: Tách thu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ộc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ính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đa tr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ị SoDienThoai ra th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ành 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ột bảng ri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êng (ví d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ụ: HOI_VIEN_SDT) li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 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ết với bảng HOI_VIEN th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ông qua khóa ngo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ại MaHV.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numbering.xml" Id="docRId4" Type="http://schemas.openxmlformats.org/officeDocument/2006/relationships/numbering" /></Relationships>
</file>