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018" w:dyaOrig="4677">
          <v:rect xmlns:o="urn:schemas-microsoft-com:office:office" xmlns:v="urn:schemas-microsoft-com:vml" id="rectole0000000000" style="width:400.900000pt;height:233.8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ớc 2: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29" w:dyaOrig="2910">
          <v:rect xmlns:o="urn:schemas-microsoft-com:office:office" xmlns:v="urn:schemas-microsoft-com:vml" id="rectole0000000001" style="width:416.450000pt;height:145.5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ớc 3: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ột vi phạm: Cột TenKH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Lý do : Thu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ộc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ính TenKH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ỉ phụ thuộc 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ào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ột phần của kh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óa chính là MaKH (ch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ỉ cần biết MaKH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 xác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ịnh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ợc TenKH, kh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ông ph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ụ thuộc 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ào MaHV). 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ự phụ thuộc một phần 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ày (Partial Dependency) vi ph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ạm chuẩn 2NF, 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ây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ặp 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ư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ừa dữ liệu (nh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ư chu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ỗi "Nhập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ôn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ình"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 lặp lại nhiều lần).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ề xuất : Loại bỏ sự phụ thuộc một phần bằng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ách tách thu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ộc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ính TenKH ra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ảng KHOA_HOC ri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êng bi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ệt, chỉ giữ lại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ác thu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ộc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ính ph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ụ thuộc ho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àn toàn vào khóa ghép trong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ảng DANG_KY.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