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phần 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lập kế hoạch: xác định mục tiêu, phạm vi, thời gian và chi phí → đầu ra: kế hoạch dự án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phân tích: thu thập yêu cầu và xác định quy tắc tính thù lao → đầu ra: tài liệu yêu cầu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thiết kế: thiết kế cơ sở dữ liệu, giao diện và luồng xử lý → đầu ra: tài liệu thiết kế, sơ đồ UML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lập trình: xây dựng các chức năng theo thiết kế → đầu ra: mã nguồn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kiểm thử: kiểm tra tính đúng đắn, lỗi tranh chấp và tính thưởng → đầu ra: báo cáo kiểm thử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triển khai: đưa hệ thống vào sử dụng thực tế → đầu ra: hệ thống hoạt động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bảo trì: sửa lỗi, cập nhật và cải tiến hệ thống → đầu ra: phiên bản cập nhật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bỏ qua phân tích khiến yêu cầu xử lý đơn tranh chấp không được xác định rõ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bỏ qua kiểm thử khiến lỗi tính thù lao và tiền thưởng không được phát hiện, dẫn đến tranh chấp với tài xế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phần 2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dữ liệu TPS → kiểm tra trạng thái đơn → lọc đơn giao thành công → tạm giữ đơn tranh chấp → tính thù lao → tính thưởng → tổng hợp dữ liệu → báo cáo MIS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