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xjm2d5b7yavy" w:id="0"/>
      <w:bookmarkEnd w:id="0"/>
      <w:r w:rsidDel="00000000" w:rsidR="00000000" w:rsidRPr="00000000">
        <w:rPr>
          <w:sz w:val="34"/>
          <w:szCs w:val="34"/>
          <w:rtl w:val="0"/>
        </w:rPr>
        <w:t xml:space="preserve">1. Thanh lọc danh sách</w:t>
      </w:r>
    </w:p>
    <w:p w:rsidR="00000000" w:rsidDel="00000000" w:rsidP="00000000" w:rsidRDefault="00000000" w:rsidRPr="00000000" w14:paraId="00000002">
      <w:pPr>
        <w:numPr>
          <w:ilvl w:val="0"/>
          <w:numId w:val="1"/>
        </w:numPr>
        <w:spacing w:after="0" w:afterAutospacing="0" w:before="240" w:lineRule="auto"/>
        <w:ind w:left="720" w:hanging="360"/>
        <w:rPr/>
      </w:pPr>
      <w:r w:rsidDel="00000000" w:rsidR="00000000" w:rsidRPr="00000000">
        <w:rPr>
          <w:rtl w:val="0"/>
        </w:rPr>
        <w:t xml:space="preserve">Bác sĩ điều trị trực tiếp → Stakeholder.</w:t>
      </w:r>
    </w:p>
    <w:p w:rsidR="00000000" w:rsidDel="00000000" w:rsidP="00000000" w:rsidRDefault="00000000" w:rsidRPr="00000000" w14:paraId="00000003">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Máy chủ cơ sở dữ liệu Oracle → Thực thể kỹ thuật, loại bỏ.</w:t>
      </w:r>
    </w:p>
    <w:p w:rsidR="00000000" w:rsidDel="00000000" w:rsidP="00000000" w:rsidRDefault="00000000" w:rsidRPr="00000000" w14:paraId="00000004">
      <w:pPr>
        <w:numPr>
          <w:ilvl w:val="0"/>
          <w:numId w:val="1"/>
        </w:numPr>
        <w:spacing w:after="0" w:afterAutospacing="0" w:before="0" w:beforeAutospacing="0" w:lineRule="auto"/>
        <w:ind w:left="720" w:hanging="360"/>
        <w:rPr/>
      </w:pPr>
      <w:r w:rsidDel="00000000" w:rsidR="00000000" w:rsidRPr="00000000">
        <w:rPr>
          <w:rtl w:val="0"/>
        </w:rPr>
        <w:t xml:space="preserve">Ban Giám đốc Bệnh viện RikkeiCare → Stakeholder.</w:t>
      </w:r>
    </w:p>
    <w:p w:rsidR="00000000" w:rsidDel="00000000" w:rsidP="00000000" w:rsidRDefault="00000000" w:rsidRPr="00000000" w14:paraId="00000005">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Bệnh nhân và Thân nhân người bệnh → Stakeholder.</w:t>
      </w:r>
    </w:p>
    <w:p w:rsidR="00000000" w:rsidDel="00000000" w:rsidP="00000000" w:rsidRDefault="00000000" w:rsidRPr="00000000" w14:paraId="00000006">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Thanh tra Pháp chế &amp; Bảo mật Y tế (Bộ Y tế) → Stakeholder.</w:t>
      </w:r>
    </w:p>
    <w:p w:rsidR="00000000" w:rsidDel="00000000" w:rsidP="00000000" w:rsidRDefault="00000000" w:rsidRPr="00000000" w14:paraId="00000007">
      <w:pPr>
        <w:spacing w:after="240" w:before="240" w:lineRule="auto"/>
        <w:rPr/>
      </w:pPr>
      <w:r w:rsidDel="00000000" w:rsidR="00000000" w:rsidRPr="00000000">
        <w:rPr>
          <w:rtl w:val="0"/>
        </w:rPr>
        <w:t xml:space="preserve">Lưu ý: Máy chủ không phải Stakeholder dù có giá trị cao, vì đây là thiết bị kỹ thuật, không có quyền lợi hay vai trò ra quyết định.</w:t>
      </w:r>
    </w:p>
    <w:p w:rsidR="00000000" w:rsidDel="00000000" w:rsidP="00000000" w:rsidRDefault="00000000" w:rsidRPr="00000000" w14:paraId="00000008">
      <w:pPr>
        <w:pStyle w:val="Heading2"/>
        <w:keepNext w:val="0"/>
        <w:keepLines w:val="0"/>
        <w:spacing w:after="80" w:lineRule="auto"/>
        <w:rPr>
          <w:sz w:val="34"/>
          <w:szCs w:val="34"/>
        </w:rPr>
      </w:pPr>
      <w:bookmarkStart w:colFirst="0" w:colLast="0" w:name="_86nhvrngizc0" w:id="1"/>
      <w:bookmarkEnd w:id="1"/>
      <w:r w:rsidDel="00000000" w:rsidR="00000000" w:rsidRPr="00000000">
        <w:rPr>
          <w:sz w:val="34"/>
          <w:szCs w:val="34"/>
          <w:rtl w:val="0"/>
        </w:rPr>
        <w:t xml:space="preserve">2. Ma trận Stakeholder</w:t>
      </w:r>
    </w:p>
    <w:p w:rsidR="00000000" w:rsidDel="00000000" w:rsidP="00000000" w:rsidRDefault="00000000" w:rsidRPr="00000000" w14:paraId="00000009">
      <w:pPr>
        <w:pStyle w:val="Heading2"/>
        <w:keepNext w:val="0"/>
        <w:keepLines w:val="0"/>
        <w:spacing w:after="80" w:lineRule="auto"/>
        <w:rPr>
          <w:sz w:val="34"/>
          <w:szCs w:val="34"/>
        </w:rPr>
      </w:pPr>
      <w:bookmarkStart w:colFirst="0" w:colLast="0" w:name="_wub05zakyisc" w:id="2"/>
      <w:bookmarkEnd w:id="2"/>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Nhóm chiến lược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Hành động tương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chặt chẽ</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Quyền lực cao - Quan tâm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 Giám đốc Bệnh viện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tiến độ, tham gia quyết định lớn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 hài lòng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Quyền lực cao - Quan tâm thấp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tra Pháp chế &amp; Bảo mật Y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Cung cấp báo cáo tuân thủ và cập nhật các thay đổi quan trọng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Quyền lực thấp - Quan tâm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Bác sĩ điều trị trực tiếp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thường xuyên về tính năng và quy trình sử dụng EHR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Giám sát tối thiểu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Quyền lực thấp - Quan tâm thấp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Bệnh nhân và Thân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định kỳ qua email/app </w:t>
            </w:r>
          </w:p>
        </w:tc>
      </w:tr>
    </w:tbl>
    <w:p w:rsidR="00000000" w:rsidDel="00000000" w:rsidP="00000000" w:rsidRDefault="00000000" w:rsidRPr="00000000" w14:paraId="0000001E">
      <w:pPr>
        <w:pStyle w:val="Heading2"/>
        <w:keepNext w:val="0"/>
        <w:keepLines w:val="0"/>
        <w:spacing w:after="80" w:lineRule="auto"/>
        <w:rPr>
          <w:sz w:val="34"/>
          <w:szCs w:val="34"/>
        </w:rPr>
      </w:pPr>
      <w:bookmarkStart w:colFirst="0" w:colLast="0" w:name="_uip3sjlwyoxa" w:id="3"/>
      <w:bookmarkEnd w:id="3"/>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sz w:val="34"/>
          <w:szCs w:val="34"/>
        </w:rPr>
      </w:pPr>
      <w:bookmarkStart w:colFirst="0" w:colLast="0" w:name="_f4zcmj1885ui" w:id="4"/>
      <w:bookmarkEnd w:id="4"/>
      <w:r w:rsidDel="00000000" w:rsidR="00000000" w:rsidRPr="00000000">
        <w:rPr>
          <w:sz w:val="34"/>
          <w:szCs w:val="34"/>
          <w:rtl w:val="0"/>
        </w:rPr>
        <w:t xml:space="preserve">3. Giải quyết xung đột</w:t>
      </w:r>
    </w:p>
    <w:p w:rsidR="00000000" w:rsidDel="00000000" w:rsidP="00000000" w:rsidRDefault="00000000" w:rsidRPr="00000000" w14:paraId="00000020">
      <w:pPr>
        <w:spacing w:after="240" w:before="240" w:lineRule="auto"/>
        <w:rPr/>
      </w:pPr>
      <w:r w:rsidDel="00000000" w:rsidR="00000000" w:rsidRPr="00000000">
        <w:rPr>
          <w:rtl w:val="0"/>
        </w:rPr>
        <w:t xml:space="preserve">Giải pháp: Cho phép bác sĩ truy cập thông tin nhạy cảm khi có Consent; trong trường hợp bệnh nhân hôn mê không thể xác nhận, hệ thống cho phép Emergency Override, đồng thời ghi đầy đủ audit log để kiểm soát và truy vết sau đó.</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