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Trước đây, bạn đã đặt danh sách chứng từ “Purchase invoice” và “Sales invoice” trên trang chủ. Bây giờ, để thuận tiện cho người dùng, hãy cho hiển thị thông tin bổ sung về các chứng từ này - thêm các bảng hàng hóa (chỉ có hàng hóa, không có dịch vụ) theo danh sách các chứng từ này, sao cho khi chọn một chứng từ trong danh sách, thì tất cả hàng hóa của chứng từ đã chọn sẽ hiển thị trên bảng mới. Nghĩa là, bạn sẽ có 4 danh sách: 2 danh sách cho chứng từ và 2 danh sách để biết thông tin về hàng hóa trong chứng từ. Nên đặt mỗi bảng hàng hóa bên dưới danh sách chứng từ (các mặt hàng của purchase invoice nằm bên dưới danh sách Purchase invoice, các mặt hàng của sales invoice nằm bên dưới danh sách Sales invoice). Lưu ý rằng, những thay đổi này không được phép ảnh hưởng đến biểu mẫu danh sách chứng từ trong các phần khác của chương trình, mà chỉ áp dụng trên trang chủ, do đó bạn nên tạo biểu mẫu danh sách riêng cho các chứng từ nhằm mục đích này. Các bảng mới sẽ hoạt động ở chế độ chỉ đọc, nghĩa là người dùng không thể tùy chỉnh, thay đổi thứ tự và nội dung của các dòng.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716"/>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Đừng quên tính đến trường hợp: không có dòng hiển thị mặc định trong danh sách chứng từ (ví dụ: không có chứng từ nào trong cơ sở dữ liệu hoặc khi sử dụng bộ lọc trên danh sách, mà không có chứng từ nào thỏa mãn điều kiện lọc).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Lời khuyên</w:t>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Để lấy liên kết đến một chứng từ từ danh sách động, mục tin biểu mẫu của loại "Dynamic List" phải có trường "Ref" và hiển thị trên biểu mẫu hoặc bật thuộc tính "Use always" cho các trường hợp khi chúng bị ẩn trên biểu mẫu.</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Trong các bảng hàng hóa mới, từ chứng từ đã chọn có thể mở biểu mẫu phần tử (item form) của danh mục Products khi chọn một dòng (nhấp đúp vào dòng hoặc chọn và nhấn phím Enter). Để mở biểu mẫu đối tượng chuẩn (standard object form), bạn có thể sử dụng thủ tục ShowValue() tích hợp sẵn, trong đó để trống tham số thứ nhất.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Thực hiện thuật toán tự động điền công ty với giá trị mặc định trong tất cả chứng từ có mục tin Company, bao gồm cả những chứng từ sẽ được tạo sau này, mà không cần đến thao tác của lập trình viên. Việc xác định công ty mặc định sẽ hoạt động như sau: nếu chỉ có một công ty trong cơ sở thông tin mà không thể đặt dấu xóa, thì đó là công ty mặc định, nếu có số lượng bất kỳ nào khác (0 hoặc 2 trở lên), thì không có công ty mặc định (nghĩa là mục tin sẽ không được điền tự động). Để kiểm tra có bao nhiêu bản ghi (records) được chọn bởi truy vấn, hãy sử dụng phương thức Quantity() của Selection object. Để tránh việc lựa chọn các bản ghi không cần thiết trong một truy vấn (không chọn tất cả các công ty, mà chỉ chọn số lượng tối thiểu cần thiết), hãy sử dụng cấu trúc SELECT FIRST &lt;number of records&gt; trong truy vấn (xem lại bài học về truy vấn). Trong trường hợp này, chỉ cần chọn 2 bản ghi đầu tiên (hãy lưu ý điều kiện các công ty không bị đánh dấu xóa) để bao trùm tất cả trường hợp mà chúng ta quan tâm - khi có 1 công ty hoặc khi không có công ty nào (&lt;1, &gt;1). Đặt hàm (function) trả về công ty mặc định trong mô-đun quản lý (manager module) Companies catalog.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0"/>
        <w:jc w:val="both"/>
        <w:rPr>
          <w:rFonts w:ascii="Verdana" w:cs="Verdana" w:eastAsia="Verdana" w:hAnsi="Verdana"/>
          <w:b w:val="0"/>
          <w:i w:val="0"/>
          <w:smallCaps w:val="0"/>
          <w:strike w:val="0"/>
          <w:color w:val="000000"/>
          <w:sz w:val="22"/>
          <w:szCs w:val="22"/>
          <w:u w:val="none"/>
          <w:shd w:fill="auto" w:val="clear"/>
          <w:vertAlign w:val="baseline"/>
        </w:rPr>
      </w:pPr>
      <w:sdt>
        <w:sdtPr>
          <w:tag w:val="goog_rdk_0"/>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chỉ nên điền công ty nếu chưa được điền (vì mỗi chứng từ có thể có thuật toán điền riêng với mức ưu tiên cao hơn so với thuật toán điền chung cho tất cả chứng từ).</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Tiếp tục thay đổi đối với cơ chế FIFO/LIFO/Manually. Thay đổi thuật toán kết chuyển (posting) chứng từ Sale invoice sao cho trước khi tạo bản ghi vào biểu ghi (registers), sẽ kiểm tra giá trị của hằng (constant) WriteOffOrder. Đối với FIFO và LIFO, trong truy vấn cần tính toán các lô hàng để ghi vào biểu ghi, đồng thời ghi nhận số lượng dư theo lô. Ví dụ: chứng từ bán hàng điền 20 chiếc Hammer. Trong kho trên chứng từ có 5 hammers từ Lô 1, 10 hammers từ Lô 2 và 15 hammers từ Lô 3 (số lô trong ví dụ này cho biết thứ tự thời gian của chúng, nghĩa là ngày của Lô 1 trước ngày của Lô 2 và 3). Sau đó, cần tạo 3 bản ghi trong biểu ghi cho mặt hàng Hammer: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 chiếc từ Lô 1</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chiếc từ Lô 2 (vì số dư của Lô 1 trong kho ít hơn số lượng trên chứng từ)</w:t>
          </w:r>
        </w:sdtContent>
      </w:sdt>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 chiếc từ Lô 3 (số dư từ Lô 2 không đủ để bù số lượng còn lại sau khi ghi giảm hammers từ Lô 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716"/>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Do đó, đối với thủ tục ghi giảm theo LIFO trong ví dụ này, sẽ tiến hành ghi giảm số dư như sau:</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15 chiếc từ Lô 3</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 chiếc từ Lô 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716"/>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Thuật toán này khá phức tạp, bạn cần lấy số dư theo lô về hàng hóa và lô, sau đó phân bổ số lượng có tính đến số lượng còn lại cần ghi giảm. Trong ví dụ trên, điều này có nghĩa là bạn lưu tổng số lượng được ghi giảm trong một số biến, ví dụ: RemainingWriteOff = 20, sau đó bỏ qua vòng lặp theo số dư lô hàng và ghi giảm 5 chiếc cho Lô 1, có nghĩa là giá trị của biến RemainingWriteOff phải được thay đổi bằng số lượng ghi giảm. Đồng thời, hãy lưu ý rằng, số dư của lô có thể nhiều hơn tổng số lượng cần ghi giảm, ví dụ: số dư của lô là 100 chiếc và chỉ cần ghi giảm 20. Thực tế là, bạn không cần ghi giảm số lượng dư, mà cần ghi giảm số nhỏ hơn trong hai số sau: số lượng dư và số lượng từ chứng từ. Hãy nhớ rằng, khi kết chuyển lại chứng từ, các bản ghi của biểu ghi cũng sẽ thay đổi bởi chứng từ hiện tại, vì vậy bạn cần loại trừ các bản ghi khi ghi nhận số dư. Điều này có thể được thực hiện bằng cách xóa các bản ghi của biểu ghi trước khi thực hiện truy vấn hoặc bằng cách đặt giá trị "Delete automatically" của thuộc tính "Delete records" chứng từ (tab Posting trong bộ dựng đối tượng (object editor) của chứng từ).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Lời khuyên</w:t>
      </w:r>
      <w:sdt>
        <w:sdtPr>
          <w:tag w:val="goog_rdk_2"/>
        </w:sdtPr>
        <w:sdtConte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bạn có thể xóa các bản ghi của biểu ghi cho chứng từ hiện tại bằng cách viết một tập hợp bản ghi trống của biểu ghi trước khi thực hiện các truy vấn:</w:t>
          </w:r>
        </w:sdtContent>
      </w:sdt>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e" w:val="clear"/>
        <w:spacing w:after="0" w:before="0" w:line="276" w:lineRule="auto"/>
        <w:ind w:left="400" w:right="0" w:firstLine="0"/>
        <w:jc w:val="left"/>
        <w:rPr>
          <w:rFonts w:ascii="Verdana" w:cs="Verdana" w:eastAsia="Verdana" w:hAnsi="Verdana"/>
          <w:b w:val="0"/>
          <w:i w:val="0"/>
          <w:smallCaps w:val="0"/>
          <w:strike w:val="0"/>
          <w:color w:val="000000"/>
          <w:sz w:val="22"/>
          <w:szCs w:val="22"/>
          <w:u w:val="none"/>
          <w:shd w:fill="fffffe" w:val="clear"/>
          <w:vertAlign w:val="baseline"/>
        </w:rPr>
      </w:pPr>
      <w:r w:rsidDel="00000000" w:rsidR="00000000" w:rsidRPr="00000000">
        <w:rPr>
          <w:rFonts w:ascii="Consolas" w:cs="Consolas" w:eastAsia="Consolas" w:hAnsi="Consolas"/>
          <w:b w:val="0"/>
          <w:i w:val="0"/>
          <w:smallCaps w:val="0"/>
          <w:strike w:val="0"/>
          <w:color w:val="0000ff"/>
          <w:sz w:val="21"/>
          <w:szCs w:val="21"/>
          <w:u w:val="none"/>
          <w:shd w:fill="fffffe" w:val="clear"/>
          <w:vertAlign w:val="baseline"/>
          <w:rtl w:val="0"/>
        </w:rPr>
        <w:t xml:space="preserve">RegisterRecords</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Fonts w:ascii="Consolas" w:cs="Consolas" w:eastAsia="Consolas" w:hAnsi="Consolas"/>
          <w:b w:val="0"/>
          <w:i w:val="0"/>
          <w:smallCaps w:val="0"/>
          <w:strike w:val="0"/>
          <w:color w:val="0000ff"/>
          <w:sz w:val="21"/>
          <w:szCs w:val="21"/>
          <w:u w:val="none"/>
          <w:shd w:fill="fffffe" w:val="clear"/>
          <w:vertAlign w:val="baseline"/>
          <w:rtl w:val="0"/>
        </w:rPr>
        <w:t xml:space="preserve">GoodsInWarehouses</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Fonts w:ascii="Consolas" w:cs="Consolas" w:eastAsia="Consolas" w:hAnsi="Consolas"/>
          <w:b w:val="0"/>
          <w:i w:val="0"/>
          <w:smallCaps w:val="0"/>
          <w:strike w:val="0"/>
          <w:color w:val="0000ff"/>
          <w:sz w:val="21"/>
          <w:szCs w:val="21"/>
          <w:u w:val="none"/>
          <w:shd w:fill="fffffe" w:val="clear"/>
          <w:vertAlign w:val="baseline"/>
          <w:rtl w:val="0"/>
        </w:rPr>
        <w:t xml:space="preserve">Write</w:t>
      </w:r>
      <w:r w:rsidDel="00000000" w:rsidR="00000000" w:rsidRPr="00000000">
        <w:rPr>
          <w:rFonts w:ascii="Consolas" w:cs="Consolas" w:eastAsia="Consolas" w:hAnsi="Consolas"/>
          <w:b w:val="0"/>
          <w:i w:val="0"/>
          <w:smallCaps w:val="0"/>
          <w:strike w:val="0"/>
          <w:color w:val="ff0000"/>
          <w:sz w:val="21"/>
          <w:szCs w:val="21"/>
          <w:u w:val="none"/>
          <w:shd w:fill="fffffe"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716"/>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Đối với tất cả phương án ghi giảm, cần thực hiện kiểm soát số dư (nếu nó đươc bật sử dụng trong doanh nghiệp) theo lô hàng. Khi ghi giảm hàng hóa theo phương pháp "Manually", bạn cần kiểm tra xem số lượng mà người dùng chỉ định còn đủ số dư theo lô hàng và kho bãi hay không, trong trường hợp này các lô hàng đã được chỉ định trong chứng từ và không cần phải chọn bằng truy vấn hoặc bất kỳ cách nào khác.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Đối với chứng từ Return of goods from customer, thuật toán lấy lô hàng trong các bản ghi của biểu ghi GoodsInWarehouses khác với chứng từ bán hàng - phần bảng hàng hóa chỉ được điền theo chứng từ Sales. Người dùng cũng không nên nhìn thấy cột Batch trong bảng nếu trình tự ghi giảm là FIFO hoặc LIFO và các dòng trong bảng hàng hóa phải được gom nhóm lại như trong chứng từ Sales. Người dùng chỉ có thể xóa dòng hoặc thay đổi số lượng trong các dòng, không thể thêm dòng, thay đổi giá trị, mặt hàng, lô hàng (mà người dùng chỉ nhìn thấy khi trình tự ghi giảm là Manually), v.v. Các bản ghi trong biểu ghi tại đây được sắp xếp đơn giản đối với trình tự ghi giảm "Manually" - hàng hóa từ phần bảng của chứng từ được ghi vào biểu ghi cùng với lô hàng. Đối với các bản ghi của biểu ghi theo phương pháp FIFO và LIFO, thuật toán trong đó phức tạp hơn, theo các quy tắc có sẵn. Chúng ta sẽ cùng tìm hiểu kỹ hơn trong ví dụ sau: trình tự ghi giảm là FIFO, trong chứng từ sales có 20 hammers đã được bán, như trong ví dụ trước. 5 chiếc từ Lô 1, 10 chiếc từ Lô 2 và 5 chiếc từ Lô 3. Trong chứng từ Return goods from customer, người dùng thấy một dòng Hammer duy nhất với số lượng 20 và thay đổi số lượng thành 10 (khách hàng trả lại 10 chiếc), có nghĩa là cần trả về số dư 5 chiếc cho Lô 3 và 5 chiếc cho Lô 2 (để khi trả lại, các lô hàng sau được trả lại trước các lô hàng trước, đối với LIFO thì ngược lại - ban đầu cần trả lại các lô hàng trước). Để làm điều này, bạn nên chú ý vào ngày của lô hàng trong chứng từ Sales invoice.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Thêm nút "fill by sales document" vào phần đầu chứng từ Return of goods from customer để người dùng có thể quay lại biểu mẫu chứng từ ban đầu, nếu họ đã thực hiện các thay đổi không cần thiết. Nút này cần kích hoạt sự kiện điền chứng từ tiêu chuẩn, nghĩa là chứng từ sẽ được điền chính xác như khi nó được tạo trên cơ sở chứng từ Sales invoice.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 w:right="0" w:hanging="425"/>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Bây giờ, chúng ta thay đổi logic ghi lại giá trị số đo Amount trong biểu ghi tích lũy (accumulation register) GoodsInWarehouses. Chúng ta đã ghi vào đó số tiền từ các chứng từ, điều này không chính xác trong trường hợp sử dụng chứng từ Bán hàng, vì mặt hàng được bán với giá cao hơn giá mua, do đó các bản ghi</w:t>
      </w:r>
    </w:p>
    <w:tbl>
      <w:tblPr>
        <w:tblStyle w:val="Table1"/>
        <w:tblpPr w:leftFromText="180" w:rightFromText="180" w:topFromText="0" w:bottomFromText="0" w:vertAnchor="text" w:horzAnchor="text" w:tblpX="2359" w:tblpY="223"/>
        <w:tblW w:w="7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8"/>
        <w:gridCol w:w="1828"/>
        <w:gridCol w:w="1499"/>
        <w:gridCol w:w="1395"/>
        <w:tblGridChange w:id="0">
          <w:tblGrid>
            <w:gridCol w:w="2998"/>
            <w:gridCol w:w="1828"/>
            <w:gridCol w:w="1499"/>
            <w:gridCol w:w="1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AccumulationRecordType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Product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Quantity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Amount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Receipt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Pencil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Expense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Pencil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70</w:t>
            </w:r>
          </w:p>
        </w:tc>
      </w:tr>
    </w:tbl>
    <w:p w:rsidR="00000000" w:rsidDel="00000000" w:rsidP="00000000" w:rsidRDefault="00000000" w:rsidRPr="00000000" w14:paraId="00000021">
      <w:pPr>
        <w:keepNext w:val="0"/>
        <w:keepLines w:val="0"/>
        <w:pageBreakBefore w:val="0"/>
        <w:widowControl w:val="1"/>
        <w:spacing w:line="276"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sẽ dẫn đến số tiền dư là âm, nghĩa là số lượng pencil dư trong trường hợp này sẽ là 0 chiếc, nhưng số tiền sẽ là -20. Các giao dịch mua bán tiếp theo sẽ chỉ làm tăng giá trị số dư âm này.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716"/>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Thuật toán chính xác là tính số tiền của mặt hàng được ghi giảm theo số dư hiện tại. Hãy xem ví dụ về mặt hàng hammers của chúng ta: khi chúng ta nhận được số dư hammers theo lô để ghi giảm bằng phương thức FIFO, chúng ta đã phải ghi giảm toàn bộ số dư của lô 1 và 2 và một phần số dư của lô 3. Giả sử số dư của lô 3 là 15 với giá trị là 1500. Điều này có nghĩa là: khi ghi giảm số lượng là 5 chiếc, thì chúng ta cũng cần ghi giảm số tiền là 500, vì giá trị của 1 chiếc là = 100 (1500/15). </w:t>
        <w:tab/>
        <w:t xml:space="preserve">Cần thay đổi thuật toán cho bản ghi của chứng từ Sales invoice và Return of goods from customer trong biểu ghi GoodsInWarehouses như sau:</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Đối với chứng từ bán hàng, số tiền phải được tính là giá trị của số dư</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0" w:right="0" w:hanging="4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Đối với chứng từ trả lại, số tiền phải được tính là giá trị liên quan đến các bản ghi của chứng từ bán hàng (lấy chúng từ bảng ảo (virtual table) Turnovers của biểu ghi). Ví dụ: nếu chứng từ bán hàng đã thực hiện các bản ghi tiếp theo trong biểu ghi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Pencil Batch1 5 250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Pencil Batch2 5 260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0"/>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sau đó, khi trả lại 7 pencils, số tiền phải được tính tương ứng với các lô được trả lại, ví dụ: khi trả lại 5 chiếc của Lô 1 và 2 chiếc của Lô 2, thì số tiền của Lô 1 bằng tổng số tiền của dòng là 250 và số tiền của Lô 2 là 260/5*2 = 104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0" w:right="0" w:firstLine="0"/>
        <w:jc w:val="both"/>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gjdgxs" w:id="0"/>
      <w:bookmarkEnd w:id="0"/>
      <w:sdt>
        <w:sdtPr>
          <w:tag w:val="goog_rdk_3"/>
        </w:sdtPr>
        <w:sdtConten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Lưu ý!</w:t>
          </w:r>
        </w:sdtContent>
      </w:sdt>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Đừng quên trường hợp số chia bằng 0 khi thực hiện các phép chia, vì phép chia cho 0 sẽ dẫn đến lỗi ngoại lệ.</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4">
    <w:name w:val="footer"/>
    <w:basedOn w:val="1"/>
    <w:uiPriority w:val="0"/>
    <w:qFormat w:val="1"/>
    <w:pPr>
      <w:tabs>
        <w:tab w:val="center" w:pos="4153"/>
        <w:tab w:val="right" w:pos="8306"/>
      </w:tabs>
      <w:snapToGrid w:val="0"/>
      <w:jc w:val="left"/>
    </w:pPr>
    <w:rPr>
      <w:sz w:val="18"/>
    </w:rPr>
  </w:style>
  <w:style w:type="paragraph" w:styleId="5">
    <w:name w:val="header"/>
    <w:basedOn w:val="1"/>
    <w:uiPriority w:val="0"/>
    <w:pPr>
      <w:tabs>
        <w:tab w:val="center" w:pos="4153"/>
        <w:tab w:val="right" w:pos="8306"/>
      </w:tabs>
      <w:snapToGrid w:val="0"/>
    </w:pPr>
    <w:rPr>
      <w:sz w:val="18"/>
    </w:rPr>
  </w:style>
  <w:style w:type="table" w:styleId="6">
    <w:name w:val="Table Grid"/>
    <w:basedOn w:val="3"/>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7">
    <w:name w:val="List Paragraph"/>
    <w:basedOn w:val="1"/>
    <w:uiPriority w:val="34"/>
    <w:qFormat w:val="1"/>
    <w:pPr>
      <w:ind w:left="720"/>
      <w:contextualSpacing w:val="1"/>
    </w:pPr>
  </w:style>
  <w:style w:type="paragraph" w:styleId="8" w:customStyle="1">
    <w:name w:val="P68B1DB1-11"/>
    <w:basedOn w:val="1"/>
    <w:uiPriority w:val="0"/>
    <w:rPr>
      <w:rFonts w:ascii="Verdana" w:hAnsi="Verdana" w:hint="default"/>
      <w:sz w:val="22"/>
    </w:rPr>
  </w:style>
  <w:style w:type="paragraph" w:styleId="9" w:customStyle="1">
    <w:name w:val="P68B1DB1-12"/>
    <w:basedOn w:val="1"/>
    <w:uiPriority w:val="0"/>
    <w:rPr>
      <w:rFonts w:ascii="Consolas" w:cs="Consolas" w:eastAsia="Consolas" w:hAnsi="Consolas" w:hint="default"/>
      <w:sz w:val="21"/>
      <w:shd w:fill="fffffe"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lOghlcsw3NI200mr1wRlshGvA==">CgMxLjAaGwoBMBIWChQIB0IQCgdWZXJkYW5hEgVBcmlhbBobCgExEhYKFAgHQhAKB1ZlcmRhbmESBUFyaWFsGhsKATISFgoUCAdCEAoHVmVyZGFuYRIFQXJpYWwaGwoBMxIWChQIB0IQCgdWZXJkYW5hEgVBcmlhbDIIaC5namRneHM4AHIhMTdOeXNic1NOMVQxd0tMdVo3LUVybnFmZTVFSGRjUndX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845FEF79539D4DD1B8AE95D76E72E935</vt:lpwstr>
  </property>
</Properties>
</file>