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120" w:before="120" w:line="276" w:lineRule="auto"/>
        <w:ind w:left="425" w:hanging="425"/>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Create a report "Sales with price deviation", which provides information:</w:t>
      </w:r>
    </w:p>
    <w:p w:rsidR="00000000" w:rsidDel="00000000" w:rsidP="00000000" w:rsidRDefault="00000000" w:rsidRPr="00000000" w14:paraId="00000002">
      <w:pPr>
        <w:numPr>
          <w:ilvl w:val="0"/>
          <w:numId w:val="3"/>
        </w:numPr>
        <w:spacing w:after="120" w:before="120" w:line="276" w:lineRule="auto"/>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quantity of sold goods/services</w:t>
      </w:r>
    </w:p>
    <w:p w:rsidR="00000000" w:rsidDel="00000000" w:rsidP="00000000" w:rsidRDefault="00000000" w:rsidRPr="00000000" w14:paraId="00000003">
      <w:pPr>
        <w:numPr>
          <w:ilvl w:val="0"/>
          <w:numId w:val="3"/>
        </w:numPr>
        <w:spacing w:after="120" w:before="120" w:line="276" w:lineRule="auto"/>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actual price calculated as Sales amount / Quantity sold</w:t>
      </w:r>
    </w:p>
    <w:p w:rsidR="00000000" w:rsidDel="00000000" w:rsidP="00000000" w:rsidRDefault="00000000" w:rsidRPr="00000000" w14:paraId="00000004">
      <w:pPr>
        <w:numPr>
          <w:ilvl w:val="0"/>
          <w:numId w:val="3"/>
        </w:numPr>
        <w:spacing w:after="120" w:before="120" w:line="276" w:lineRule="auto"/>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planned price obtained by calling the export function that returns the price of the product on the date (you created it in the lesson on information registers). </w:t>
      </w:r>
      <w:r w:rsidDel="00000000" w:rsidR="00000000" w:rsidRPr="00000000">
        <w:rPr>
          <w:rFonts w:ascii="Verdana" w:cs="Verdana" w:eastAsia="Verdana" w:hAnsi="Verdana"/>
          <w:b w:val="1"/>
          <w:sz w:val="22"/>
          <w:szCs w:val="22"/>
          <w:rtl w:val="0"/>
        </w:rPr>
        <w:t xml:space="preserve">The current price must be obtained on the date of sale!</w:t>
      </w:r>
      <w:r w:rsidDel="00000000" w:rsidR="00000000" w:rsidRPr="00000000">
        <w:rPr>
          <w:rtl w:val="0"/>
        </w:rPr>
      </w:r>
    </w:p>
    <w:p w:rsidR="00000000" w:rsidDel="00000000" w:rsidP="00000000" w:rsidRDefault="00000000" w:rsidRPr="00000000" w14:paraId="00000005">
      <w:pPr>
        <w:numPr>
          <w:ilvl w:val="0"/>
          <w:numId w:val="3"/>
        </w:numPr>
        <w:spacing w:after="120" w:before="120" w:line="276" w:lineRule="auto"/>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price deviation calculated as &lt;Actual price - Planned price&gt;</w:t>
      </w:r>
    </w:p>
    <w:p w:rsidR="00000000" w:rsidDel="00000000" w:rsidP="00000000" w:rsidRDefault="00000000" w:rsidRPr="00000000" w14:paraId="00000006">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Prices and deviation must be calculated as average values in terms of a product. Because the same company can sell the same product to the same company in different periods, when the planned and actual prices changed (as well as the deviation), but in the report there is no need to see each such sale and deviation, the average values ​​for each product item are enough.</w:t>
      </w:r>
    </w:p>
    <w:p w:rsidR="00000000" w:rsidDel="00000000" w:rsidP="00000000" w:rsidRDefault="00000000" w:rsidRPr="00000000" w14:paraId="00000007">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 example of what averaging looks like (the Recorder is indicated here only to demonstrate different values ​​and their average, it is not needed in the report):</w:t>
      </w:r>
    </w:p>
    <w:tbl>
      <w:tblPr>
        <w:tblStyle w:val="Table1"/>
        <w:jc w:val="left"/>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tcBorders>
              <w:top w:color="a3a3a3" w:space="0" w:sz="6" w:val="single"/>
              <w:left w:color="a3a3a3" w:space="0" w:sz="6" w:val="single"/>
              <w:bottom w:color="a3a3a3" w:space="0" w:sz="6" w:val="single"/>
              <w:right w:color="a3a3a3" w:space="0" w:sz="6" w:val="single"/>
            </w:tcBorders>
            <w:shd w:fill="fffbf0" w:val="clear"/>
            <w:tcMar>
              <w:top w:w="80.0" w:type="dxa"/>
              <w:left w:w="80.0" w:type="dxa"/>
              <w:bottom w:w="80.0" w:type="dxa"/>
              <w:right w:w="80.0" w:type="dxa"/>
            </w:tcMar>
          </w:tcPr>
          <w:p w:rsidR="00000000" w:rsidDel="00000000" w:rsidP="00000000" w:rsidRDefault="00000000" w:rsidRPr="00000000" w14:paraId="00000008">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Tea "Cozy" red</w:t>
            </w:r>
          </w:p>
        </w:tc>
        <w:tc>
          <w:tcPr>
            <w:tcBorders>
              <w:top w:color="a3a3a3" w:space="0" w:sz="6" w:val="single"/>
              <w:left w:color="a3a3a3" w:space="0" w:sz="6" w:val="single"/>
              <w:bottom w:color="a3a3a3" w:space="0" w:sz="6" w:val="single"/>
              <w:right w:color="a3a3a3" w:space="0" w:sz="6" w:val="single"/>
            </w:tcBorders>
            <w:shd w:fill="fffbf0" w:val="clear"/>
            <w:tcMar>
              <w:top w:w="80.0" w:type="dxa"/>
              <w:left w:w="80.0" w:type="dxa"/>
              <w:bottom w:w="80.0" w:type="dxa"/>
              <w:right w:w="80.0" w:type="dxa"/>
            </w:tcMar>
          </w:tcPr>
          <w:p w:rsidR="00000000" w:rsidDel="00000000" w:rsidP="00000000" w:rsidRDefault="00000000" w:rsidRPr="00000000" w14:paraId="00000009">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130.000</w:t>
            </w:r>
          </w:p>
        </w:tc>
        <w:tc>
          <w:tcPr>
            <w:tcBorders>
              <w:top w:color="a3a3a3" w:space="0" w:sz="6" w:val="single"/>
              <w:left w:color="a3a3a3" w:space="0" w:sz="6" w:val="single"/>
              <w:bottom w:color="a3a3a3" w:space="0" w:sz="6" w:val="single"/>
              <w:right w:color="a3a3a3" w:space="0" w:sz="6" w:val="single"/>
            </w:tcBorders>
            <w:shd w:fill="fffbf0" w:val="clear"/>
            <w:tcMar>
              <w:top w:w="80.0" w:type="dxa"/>
              <w:left w:w="80.0" w:type="dxa"/>
              <w:bottom w:w="80.0" w:type="dxa"/>
              <w:right w:w="80.0" w:type="dxa"/>
            </w:tcMar>
          </w:tcPr>
          <w:p w:rsidR="00000000" w:rsidDel="00000000" w:rsidP="00000000" w:rsidRDefault="00000000" w:rsidRPr="00000000" w14:paraId="0000000A">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142</w:t>
            </w:r>
          </w:p>
        </w:tc>
        <w:tc>
          <w:tcPr>
            <w:tcBorders>
              <w:top w:color="a3a3a3" w:space="0" w:sz="6" w:val="single"/>
              <w:left w:color="a3a3a3" w:space="0" w:sz="6" w:val="single"/>
              <w:bottom w:color="a3a3a3" w:space="0" w:sz="6" w:val="single"/>
              <w:right w:color="a3a3a3" w:space="0" w:sz="6" w:val="single"/>
            </w:tcBorders>
            <w:shd w:fill="fffbf0" w:val="clear"/>
            <w:tcMar>
              <w:top w:w="80.0" w:type="dxa"/>
              <w:left w:w="80.0" w:type="dxa"/>
              <w:bottom w:w="80.0" w:type="dxa"/>
              <w:right w:w="80.0" w:type="dxa"/>
            </w:tcMar>
          </w:tcPr>
          <w:p w:rsidR="00000000" w:rsidDel="00000000" w:rsidP="00000000" w:rsidRDefault="00000000" w:rsidRPr="00000000" w14:paraId="0000000B">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151</w:t>
            </w:r>
          </w:p>
        </w:tc>
        <w:tc>
          <w:tcPr>
            <w:tcBorders>
              <w:top w:color="a3a3a3" w:space="0" w:sz="6" w:val="single"/>
              <w:left w:color="a3a3a3" w:space="0" w:sz="6" w:val="single"/>
              <w:bottom w:color="a3a3a3" w:space="0" w:sz="6" w:val="single"/>
              <w:right w:color="a3a3a3" w:space="0" w:sz="6" w:val="single"/>
            </w:tcBorders>
            <w:shd w:fill="fffbf0" w:val="clear"/>
            <w:tcMar>
              <w:top w:w="80.0" w:type="dxa"/>
              <w:left w:w="80.0" w:type="dxa"/>
              <w:bottom w:w="80.0" w:type="dxa"/>
              <w:right w:w="80.0" w:type="dxa"/>
            </w:tcMar>
          </w:tcPr>
          <w:p w:rsidR="00000000" w:rsidDel="00000000" w:rsidP="00000000" w:rsidRDefault="00000000" w:rsidRPr="00000000" w14:paraId="0000000C">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r>
      <w:tr>
        <w:trPr>
          <w:cantSplit w:val="0"/>
          <w:tblHeader w:val="0"/>
        </w:trPr>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0D">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Sales invoice 000000002 dated 4/4/2024 12:00:52 PM</w:t>
            </w:r>
          </w:p>
        </w:tc>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0E">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120.000</w:t>
            </w:r>
          </w:p>
        </w:tc>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0F">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143</w:t>
            </w:r>
          </w:p>
        </w:tc>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10">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150</w:t>
            </w:r>
          </w:p>
        </w:tc>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11">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r>
      <w:tr>
        <w:trPr>
          <w:cantSplit w:val="0"/>
          <w:tblHeader w:val="0"/>
        </w:trPr>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12">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Sales invoice SC0000001 dated 1/1/2025 3:54:31 PM</w:t>
            </w:r>
          </w:p>
        </w:tc>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13">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10.000</w:t>
            </w:r>
          </w:p>
        </w:tc>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14">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141</w:t>
            </w:r>
          </w:p>
        </w:tc>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15">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152</w:t>
            </w:r>
          </w:p>
        </w:tc>
        <w:tc>
          <w:tcPr>
            <w:tcBorders>
              <w:top w:color="a3a3a3" w:space="0" w:sz="6" w:val="single"/>
              <w:left w:color="a3a3a3" w:space="0" w:sz="6" w:val="single"/>
              <w:bottom w:color="a3a3a3" w:space="0" w:sz="6" w:val="single"/>
              <w:right w:color="a3a3a3" w:space="0" w:sz="6" w:val="single"/>
            </w:tcBorders>
            <w:shd w:fill="ffffff" w:val="clear"/>
            <w:tcMar>
              <w:top w:w="80.0" w:type="dxa"/>
              <w:left w:w="80.0" w:type="dxa"/>
              <w:bottom w:w="80.0" w:type="dxa"/>
              <w:right w:w="80.0" w:type="dxa"/>
            </w:tcMar>
          </w:tcPr>
          <w:p w:rsidR="00000000" w:rsidDel="00000000" w:rsidP="00000000" w:rsidRDefault="00000000" w:rsidRPr="00000000" w14:paraId="00000016">
            <w:pPr>
              <w:spacing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r>
    </w:tbl>
    <w:p w:rsidR="00000000" w:rsidDel="00000000" w:rsidP="00000000" w:rsidRDefault="00000000" w:rsidRPr="00000000" w14:paraId="00000017">
      <w:pPr>
        <w:spacing w:after="120" w:before="120" w:line="276" w:lineRule="auto"/>
        <w:ind w:firstLine="720"/>
        <w:jc w:val="both"/>
        <w:rPr>
          <w:rFonts w:ascii="Verdana" w:cs="Verdana" w:eastAsia="Verdana" w:hAnsi="Verdana"/>
          <w:sz w:val="22"/>
          <w:szCs w:val="22"/>
        </w:rPr>
      </w:pPr>
      <w:bookmarkStart w:colFirst="0" w:colLast="0" w:name="_heading=h.30j0zll" w:id="1"/>
      <w:bookmarkEnd w:id="1"/>
      <w:r w:rsidDel="00000000" w:rsidR="00000000" w:rsidRPr="00000000">
        <w:rPr>
          <w:rFonts w:ascii="Verdana" w:cs="Verdana" w:eastAsia="Verdana" w:hAnsi="Verdana"/>
          <w:sz w:val="22"/>
          <w:szCs w:val="22"/>
          <w:rtl w:val="0"/>
        </w:rPr>
        <w:t xml:space="preserve">The report should initially have 2 variants (options):</w:t>
      </w:r>
    </w:p>
    <w:p w:rsidR="00000000" w:rsidDel="00000000" w:rsidP="00000000" w:rsidRDefault="00000000" w:rsidRPr="00000000" w14:paraId="00000018">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By companies and customers</w:t>
      </w:r>
    </w:p>
    <w:p w:rsidR="00000000" w:rsidDel="00000000" w:rsidP="00000000" w:rsidRDefault="00000000" w:rsidRPr="00000000" w14:paraId="00000019">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structure of the report by companies is as follows:</w:t>
      </w:r>
    </w:p>
    <w:p w:rsidR="00000000" w:rsidDel="00000000" w:rsidP="00000000" w:rsidRDefault="00000000" w:rsidRPr="00000000" w14:paraId="0000001A">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Company --- Quantity --- Price fact --- Price plan --- Deviation</w:t>
      </w:r>
    </w:p>
    <w:p w:rsidR="00000000" w:rsidDel="00000000" w:rsidP="00000000" w:rsidRDefault="00000000" w:rsidRPr="00000000" w14:paraId="0000001B">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Customer</w:t>
      </w:r>
    </w:p>
    <w:p w:rsidR="00000000" w:rsidDel="00000000" w:rsidP="00000000" w:rsidRDefault="00000000" w:rsidRPr="00000000" w14:paraId="0000001C">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Product</w:t>
      </w:r>
    </w:p>
    <w:tbl>
      <w:tblPr>
        <w:tblStyle w:val="Table2"/>
        <w:jc w:val="left"/>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Company</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1E">
            <w:pPr>
              <w:widowControl w:val="0"/>
              <w:spacing w:line="276" w:lineRule="auto"/>
              <w:jc w:val="center"/>
              <w:rPr>
                <w:rFonts w:ascii="Verdana" w:cs="Verdana" w:eastAsia="Verdana" w:hAnsi="Verdana"/>
              </w:rPr>
            </w:pPr>
            <w:r w:rsidDel="00000000" w:rsidR="00000000" w:rsidRPr="00000000">
              <w:rPr>
                <w:rFonts w:ascii="Verdana" w:cs="Verdana" w:eastAsia="Verdana" w:hAnsi="Verdana"/>
                <w:rtl w:val="0"/>
              </w:rPr>
              <w:t xml:space="preserve">Quantity</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1F">
            <w:pPr>
              <w:widowControl w:val="0"/>
              <w:spacing w:line="276" w:lineRule="auto"/>
              <w:jc w:val="center"/>
              <w:rPr>
                <w:rFonts w:ascii="Verdana" w:cs="Verdana" w:eastAsia="Verdana" w:hAnsi="Verdana"/>
              </w:rPr>
            </w:pPr>
            <w:r w:rsidDel="00000000" w:rsidR="00000000" w:rsidRPr="00000000">
              <w:rPr>
                <w:rFonts w:ascii="Verdana" w:cs="Verdana" w:eastAsia="Verdana" w:hAnsi="Verdana"/>
                <w:rtl w:val="0"/>
              </w:rPr>
              <w:t xml:space="preserve">Price fact</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0">
            <w:pPr>
              <w:widowControl w:val="0"/>
              <w:spacing w:line="276" w:lineRule="auto"/>
              <w:jc w:val="center"/>
              <w:rPr>
                <w:rFonts w:ascii="Verdana" w:cs="Verdana" w:eastAsia="Verdana" w:hAnsi="Verdana"/>
              </w:rPr>
            </w:pPr>
            <w:r w:rsidDel="00000000" w:rsidR="00000000" w:rsidRPr="00000000">
              <w:rPr>
                <w:rFonts w:ascii="Verdana" w:cs="Verdana" w:eastAsia="Verdana" w:hAnsi="Verdana"/>
                <w:rtl w:val="0"/>
              </w:rPr>
              <w:t xml:space="preserve">Price plan</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1">
            <w:pPr>
              <w:widowControl w:val="0"/>
              <w:spacing w:line="276" w:lineRule="auto"/>
              <w:jc w:val="center"/>
              <w:rPr>
                <w:rFonts w:ascii="Verdana" w:cs="Verdana" w:eastAsia="Verdana" w:hAnsi="Verdana"/>
              </w:rPr>
            </w:pPr>
            <w:r w:rsidDel="00000000" w:rsidR="00000000" w:rsidRPr="00000000">
              <w:rPr>
                <w:rFonts w:ascii="Verdana" w:cs="Verdana" w:eastAsia="Verdana" w:hAnsi="Verdana"/>
                <w:rtl w:val="0"/>
              </w:rPr>
              <w:t xml:space="preserve">Deviation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Customer</w:t>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Product</w:t>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2C">
      <w:pPr>
        <w:spacing w:after="120" w:before="120" w:line="276" w:lineRule="auto"/>
        <w:ind w:firstLine="720"/>
        <w:jc w:val="both"/>
        <w:rPr>
          <w:rFonts w:ascii="Verdana" w:cs="Verdana" w:eastAsia="Verdana" w:hAnsi="Verdana"/>
          <w:sz w:val="22"/>
          <w:szCs w:val="22"/>
        </w:rPr>
      </w:pPr>
      <w:bookmarkStart w:colFirst="0" w:colLast="0" w:name="_heading=h.1fob9te" w:id="2"/>
      <w:bookmarkEnd w:id="2"/>
      <w:r w:rsidDel="00000000" w:rsidR="00000000" w:rsidRPr="00000000">
        <w:rPr>
          <w:rFonts w:ascii="Verdana" w:cs="Verdana" w:eastAsia="Verdana" w:hAnsi="Verdana"/>
          <w:sz w:val="22"/>
          <w:szCs w:val="22"/>
          <w:rtl w:val="0"/>
        </w:rPr>
        <w:t xml:space="preserve">2) By customers</w:t>
      </w:r>
    </w:p>
    <w:p w:rsidR="00000000" w:rsidDel="00000000" w:rsidP="00000000" w:rsidRDefault="00000000" w:rsidRPr="00000000" w14:paraId="0000002D">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report structure is the same as by companies and clients, but without grouping by company (i.e. the company is not displayed in the report at all in this version)</w:t>
      </w:r>
    </w:p>
    <w:tbl>
      <w:tblPr>
        <w:tblStyle w:val="Table3"/>
        <w:jc w:val="left"/>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rFonts w:ascii="Arial" w:cs="Arial" w:eastAsia="Arial" w:hAnsi="Arial"/>
              </w:rPr>
            </w:pPr>
            <w:r w:rsidDel="00000000" w:rsidR="00000000" w:rsidRPr="00000000">
              <w:rPr>
                <w:sz w:val="22"/>
                <w:szCs w:val="22"/>
                <w:rtl w:val="0"/>
              </w:rPr>
              <w:t xml:space="preserve">Customer</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2F">
            <w:pPr>
              <w:widowControl w:val="0"/>
              <w:spacing w:line="276" w:lineRule="auto"/>
              <w:jc w:val="center"/>
              <w:rPr>
                <w:sz w:val="22"/>
                <w:szCs w:val="22"/>
              </w:rPr>
            </w:pPr>
            <w:r w:rsidDel="00000000" w:rsidR="00000000" w:rsidRPr="00000000">
              <w:rPr>
                <w:sz w:val="22"/>
                <w:szCs w:val="22"/>
                <w:rtl w:val="0"/>
              </w:rPr>
              <w:t xml:space="preserve">Quantity</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30">
            <w:pPr>
              <w:widowControl w:val="0"/>
              <w:spacing w:line="276" w:lineRule="auto"/>
              <w:jc w:val="center"/>
              <w:rPr>
                <w:sz w:val="22"/>
                <w:szCs w:val="22"/>
              </w:rPr>
            </w:pPr>
            <w:r w:rsidDel="00000000" w:rsidR="00000000" w:rsidRPr="00000000">
              <w:rPr>
                <w:sz w:val="22"/>
                <w:szCs w:val="22"/>
                <w:rtl w:val="0"/>
              </w:rPr>
              <w:t xml:space="preserve">Price fact</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31">
            <w:pPr>
              <w:widowControl w:val="0"/>
              <w:spacing w:line="276" w:lineRule="auto"/>
              <w:jc w:val="center"/>
              <w:rPr>
                <w:sz w:val="22"/>
                <w:szCs w:val="22"/>
              </w:rPr>
            </w:pPr>
            <w:r w:rsidDel="00000000" w:rsidR="00000000" w:rsidRPr="00000000">
              <w:rPr>
                <w:sz w:val="22"/>
                <w:szCs w:val="22"/>
                <w:rtl w:val="0"/>
              </w:rPr>
              <w:t xml:space="preserve">Price plan</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32">
            <w:pPr>
              <w:widowControl w:val="0"/>
              <w:spacing w:line="276" w:lineRule="auto"/>
              <w:jc w:val="center"/>
              <w:rPr>
                <w:sz w:val="22"/>
                <w:szCs w:val="22"/>
              </w:rPr>
            </w:pPr>
            <w:r w:rsidDel="00000000" w:rsidR="00000000" w:rsidRPr="00000000">
              <w:rPr>
                <w:sz w:val="22"/>
                <w:szCs w:val="22"/>
                <w:rtl w:val="0"/>
              </w:rPr>
              <w:t xml:space="preserve">Deviation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rFonts w:ascii="Arial" w:cs="Arial" w:eastAsia="Arial" w:hAnsi="Arial"/>
              </w:rPr>
            </w:pPr>
            <w:r w:rsidDel="00000000" w:rsidR="00000000" w:rsidRPr="00000000">
              <w:rPr>
                <w:sz w:val="22"/>
                <w:szCs w:val="22"/>
                <w:rtl w:val="0"/>
              </w:rPr>
              <w:t xml:space="preserve">Product</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38">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report should not include data on product returns, only on sales. This can be implemented quite easily using selection by positive quantity turnover.</w:t>
      </w:r>
    </w:p>
    <w:p w:rsidR="00000000" w:rsidDel="00000000" w:rsidP="00000000" w:rsidRDefault="00000000" w:rsidRPr="00000000" w14:paraId="00000039">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report should allow you to limit the period for which data is selected, and the period field on the form should be of the "standard period" type for ease of use. The report should also provide filters by company (if the report variant contains information about the company), customer, product. All these restrictions/filters should be available to a user directly from the report form.</w:t>
      </w:r>
    </w:p>
    <w:p w:rsidR="00000000" w:rsidDel="00000000" w:rsidP="00000000" w:rsidRDefault="00000000" w:rsidRPr="00000000" w14:paraId="0000003A">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Totals by price, as well as deviations, are not needed in groupings other than Product or general report totals (i.e. in the Company and Customer groupings, you do not need to fill in the values ​​of actual and planned prices, deviations).</w:t>
      </w:r>
    </w:p>
    <w:p w:rsidR="00000000" w:rsidDel="00000000" w:rsidP="00000000" w:rsidRDefault="00000000" w:rsidRPr="00000000" w14:paraId="0000003B">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Since the actual price is calculated, and the amount may contain a discount, the result may be a non-integer number with a large number of decimal places. Format the presentation of the actual price so that it is rounded to whole numbers (integer) at the stage of data output to the report, leaving the data unchanged so that any calculations are accurate.</w:t>
      </w:r>
    </w:p>
    <w:p w:rsidR="00000000" w:rsidDel="00000000" w:rsidP="00000000" w:rsidRDefault="00000000" w:rsidRPr="00000000" w14:paraId="0000003C">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order to get the deviation between planned and actual prices in the report, it is necessary to post several documents using a discount (I remind you that the size and condition of the discount are specified in the counterparty contract).</w:t>
      </w:r>
    </w:p>
    <w:p w:rsidR="00000000" w:rsidDel="00000000" w:rsidP="00000000" w:rsidRDefault="00000000" w:rsidRPr="00000000" w14:paraId="0000003D">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Remember that in the expressions of calculated fields you cannot refer to other calculated fields, but you can do this in the expressions of resources.</w:t>
      </w:r>
    </w:p>
    <w:p w:rsidR="00000000" w:rsidDel="00000000" w:rsidP="00000000" w:rsidRDefault="00000000" w:rsidRPr="00000000" w14:paraId="0000003E">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 the appearance template to your taste so that the groupings and totals in the report stand out.</w:t>
      </w:r>
    </w:p>
    <w:p w:rsidR="00000000" w:rsidDel="00000000" w:rsidP="00000000" w:rsidRDefault="00000000" w:rsidRPr="00000000" w14:paraId="0000003F">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Place the report in the Sales subsystem.</w:t>
      </w:r>
    </w:p>
    <w:p w:rsidR="00000000" w:rsidDel="00000000" w:rsidP="00000000" w:rsidRDefault="00000000" w:rsidRPr="00000000" w14:paraId="00000040">
      <w:pPr>
        <w:numPr>
          <w:ilvl w:val="0"/>
          <w:numId w:val="2"/>
        </w:numPr>
        <w:spacing w:after="120" w:before="120" w:line="276" w:lineRule="auto"/>
        <w:ind w:left="425" w:hanging="425"/>
        <w:jc w:val="both"/>
        <w:rPr>
          <w:rFonts w:ascii="Verdana" w:cs="Verdana" w:eastAsia="Verdana" w:hAnsi="Verdana"/>
          <w:sz w:val="22"/>
          <w:szCs w:val="22"/>
        </w:rPr>
      </w:pPr>
      <w:bookmarkStart w:colFirst="0" w:colLast="0" w:name="_heading=h.3znysh7" w:id="3"/>
      <w:bookmarkEnd w:id="3"/>
      <w:r w:rsidDel="00000000" w:rsidR="00000000" w:rsidRPr="00000000">
        <w:rPr>
          <w:rFonts w:ascii="Verdana" w:cs="Verdana" w:eastAsia="Verdana" w:hAnsi="Verdana"/>
          <w:sz w:val="22"/>
          <w:szCs w:val="22"/>
          <w:rtl w:val="0"/>
        </w:rPr>
        <w:t xml:space="preserve">Create the "Goods movement" report.</w:t>
      </w:r>
    </w:p>
    <w:p w:rsidR="00000000" w:rsidDel="00000000" w:rsidP="00000000" w:rsidRDefault="00000000" w:rsidRPr="00000000" w14:paraId="00000041">
      <w:pPr>
        <w:spacing w:after="120" w:before="120" w:line="276" w:lineRule="auto"/>
        <w:ind w:firstLine="720"/>
        <w:jc w:val="both"/>
        <w:rPr>
          <w:rFonts w:ascii="Verdana" w:cs="Verdana" w:eastAsia="Verdana" w:hAnsi="Verdana"/>
          <w:b w:val="1"/>
          <w:sz w:val="22"/>
          <w:szCs w:val="22"/>
        </w:rPr>
      </w:pPr>
      <w:r w:rsidDel="00000000" w:rsidR="00000000" w:rsidRPr="00000000">
        <w:rPr>
          <w:rFonts w:ascii="Verdana" w:cs="Verdana" w:eastAsia="Verdana" w:hAnsi="Verdana"/>
          <w:sz w:val="22"/>
          <w:szCs w:val="22"/>
          <w:rtl w:val="0"/>
        </w:rPr>
        <w:t xml:space="preserve">The report should contain information on the opening and closing balances of goods in warehouses, their receipt and expenses for the reporting period. </w:t>
      </w:r>
      <w:r w:rsidDel="00000000" w:rsidR="00000000" w:rsidRPr="00000000">
        <w:rPr>
          <w:rFonts w:ascii="Verdana" w:cs="Verdana" w:eastAsia="Verdana" w:hAnsi="Verdana"/>
          <w:b w:val="1"/>
          <w:sz w:val="22"/>
          <w:szCs w:val="22"/>
          <w:rtl w:val="0"/>
        </w:rPr>
        <w:t xml:space="preserve">The data on the opening and closing balances should be correct at all levels of groupings!</w:t>
      </w:r>
    </w:p>
    <w:p w:rsidR="00000000" w:rsidDel="00000000" w:rsidP="00000000" w:rsidRDefault="00000000" w:rsidRPr="00000000" w14:paraId="00000042">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report should contain two report variants (options), the first option should contain the already announced fields in the context of warehouse and goods. The second report option should additionally contain information on the minimum balance of goods in warehouses on the final date of the report, the algorithm for obtaining which will be described below.</w:t>
      </w:r>
    </w:p>
    <w:p w:rsidR="00000000" w:rsidDel="00000000" w:rsidP="00000000" w:rsidRDefault="00000000" w:rsidRPr="00000000" w14:paraId="00000043">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Report structure by report options:</w:t>
      </w:r>
    </w:p>
    <w:p w:rsidR="00000000" w:rsidDel="00000000" w:rsidP="00000000" w:rsidRDefault="00000000" w:rsidRPr="00000000" w14:paraId="00000044">
      <w:pPr>
        <w:numPr>
          <w:ilvl w:val="0"/>
          <w:numId w:val="1"/>
        </w:numPr>
        <w:spacing w:after="120" w:before="12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Goods movement</w:t>
      </w:r>
    </w:p>
    <w:tbl>
      <w:tblPr>
        <w:tblStyle w:val="Table4"/>
        <w:jc w:val="left"/>
        <w:tblLayout w:type="fixed"/>
        <w:tblLook w:val="0600"/>
      </w:tblPr>
      <w:tblGrid>
        <w:gridCol w:w="922.8888888888889"/>
        <w:gridCol w:w="922.8888888888889"/>
        <w:gridCol w:w="922.8888888888889"/>
        <w:gridCol w:w="922.8888888888889"/>
        <w:gridCol w:w="922.8888888888889"/>
        <w:gridCol w:w="922.8888888888889"/>
        <w:gridCol w:w="922.8888888888889"/>
        <w:gridCol w:w="922.8888888888889"/>
        <w:gridCol w:w="922.8888888888889"/>
        <w:tblGridChange w:id="0">
          <w:tblGrid>
            <w:gridCol w:w="922.8888888888889"/>
            <w:gridCol w:w="922.8888888888889"/>
            <w:gridCol w:w="922.8888888888889"/>
            <w:gridCol w:w="922.8888888888889"/>
            <w:gridCol w:w="922.8888888888889"/>
            <w:gridCol w:w="922.8888888888889"/>
            <w:gridCol w:w="922.8888888888889"/>
            <w:gridCol w:w="922.8888888888889"/>
            <w:gridCol w:w="922.8888888888889"/>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rFonts w:ascii="Arial" w:cs="Arial" w:eastAsia="Arial" w:hAnsi="Arial"/>
              </w:rPr>
            </w:pPr>
            <w:r w:rsidDel="00000000" w:rsidR="00000000" w:rsidRPr="00000000">
              <w:rPr>
                <w:sz w:val="22"/>
                <w:szCs w:val="22"/>
                <w:rtl w:val="0"/>
              </w:rPr>
              <w:t xml:space="preserve">Warehouse</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jc w:val="center"/>
              <w:rPr>
                <w:rFonts w:ascii="Arial" w:cs="Arial" w:eastAsia="Arial" w:hAnsi="Arial"/>
              </w:rPr>
            </w:pPr>
            <w:r w:rsidDel="00000000" w:rsidR="00000000" w:rsidRPr="00000000">
              <w:rPr>
                <w:sz w:val="22"/>
                <w:szCs w:val="22"/>
                <w:rtl w:val="0"/>
              </w:rPr>
              <w:t xml:space="preserve">Opening balance</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jc w:val="center"/>
              <w:rPr>
                <w:rFonts w:ascii="Arial" w:cs="Arial" w:eastAsia="Arial" w:hAnsi="Arial"/>
              </w:rPr>
            </w:pPr>
            <w:r w:rsidDel="00000000" w:rsidR="00000000" w:rsidRPr="00000000">
              <w:rPr>
                <w:sz w:val="22"/>
                <w:szCs w:val="22"/>
                <w:rtl w:val="0"/>
              </w:rPr>
              <w:t xml:space="preserve">Receipt</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jc w:val="center"/>
              <w:rPr>
                <w:rFonts w:ascii="Arial" w:cs="Arial" w:eastAsia="Arial" w:hAnsi="Arial"/>
              </w:rPr>
            </w:pPr>
            <w:r w:rsidDel="00000000" w:rsidR="00000000" w:rsidRPr="00000000">
              <w:rPr>
                <w:sz w:val="22"/>
                <w:szCs w:val="22"/>
                <w:rtl w:val="0"/>
              </w:rPr>
              <w:t xml:space="preserve">Expense</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jc w:val="center"/>
              <w:rPr>
                <w:rFonts w:ascii="Arial" w:cs="Arial" w:eastAsia="Arial" w:hAnsi="Arial"/>
              </w:rPr>
            </w:pPr>
            <w:r w:rsidDel="00000000" w:rsidR="00000000" w:rsidRPr="00000000">
              <w:rPr>
                <w:sz w:val="22"/>
                <w:szCs w:val="22"/>
                <w:rtl w:val="0"/>
              </w:rPr>
              <w:t xml:space="preserve">Closing balance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rFonts w:ascii="Arial" w:cs="Arial" w:eastAsia="Arial" w:hAnsi="Arial"/>
              </w:rPr>
            </w:pPr>
            <w:r w:rsidDel="00000000" w:rsidR="00000000" w:rsidRPr="00000000">
              <w:rPr>
                <w:sz w:val="22"/>
                <w:szCs w:val="22"/>
                <w:rtl w:val="0"/>
              </w:rPr>
              <w:t xml:space="preserve">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rFonts w:ascii="Arial" w:cs="Arial" w:eastAsia="Arial" w:hAnsi="Arial"/>
              </w:rPr>
            </w:pPr>
            <w:r w:rsidDel="00000000" w:rsidR="00000000" w:rsidRPr="00000000">
              <w:rPr>
                <w:sz w:val="22"/>
                <w:szCs w:val="22"/>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rFonts w:ascii="Arial" w:cs="Arial" w:eastAsia="Arial" w:hAnsi="Arial"/>
              </w:rPr>
            </w:pPr>
            <w:r w:rsidDel="00000000" w:rsidR="00000000" w:rsidRPr="00000000">
              <w:rPr>
                <w:sz w:val="22"/>
                <w:szCs w:val="22"/>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rFonts w:ascii="Arial" w:cs="Arial" w:eastAsia="Arial" w:hAnsi="Arial"/>
              </w:rPr>
            </w:pPr>
            <w:r w:rsidDel="00000000" w:rsidR="00000000" w:rsidRPr="00000000">
              <w:rPr>
                <w:sz w:val="22"/>
                <w:szCs w:val="22"/>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rFonts w:ascii="Arial" w:cs="Arial" w:eastAsia="Arial" w:hAnsi="Arial"/>
              </w:rPr>
            </w:pPr>
            <w:r w:rsidDel="00000000" w:rsidR="00000000" w:rsidRPr="00000000">
              <w:rPr>
                <w:sz w:val="22"/>
                <w:szCs w:val="22"/>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rFonts w:ascii="Arial" w:cs="Arial" w:eastAsia="Arial" w:hAnsi="Arial"/>
              </w:rPr>
            </w:pPr>
            <w:r w:rsidDel="00000000" w:rsidR="00000000" w:rsidRPr="00000000">
              <w:rPr>
                <w:sz w:val="22"/>
                <w:szCs w:val="22"/>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rFonts w:ascii="Arial" w:cs="Arial" w:eastAsia="Arial" w:hAnsi="Arial"/>
              </w:rPr>
            </w:pPr>
            <w:r w:rsidDel="00000000" w:rsidR="00000000" w:rsidRPr="00000000">
              <w:rPr>
                <w:sz w:val="22"/>
                <w:szCs w:val="22"/>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rFonts w:ascii="Arial" w:cs="Arial" w:eastAsia="Arial" w:hAnsi="Arial"/>
              </w:rPr>
            </w:pPr>
            <w:r w:rsidDel="00000000" w:rsidR="00000000" w:rsidRPr="00000000">
              <w:rPr>
                <w:sz w:val="22"/>
                <w:szCs w:val="22"/>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rFonts w:ascii="Arial" w:cs="Arial" w:eastAsia="Arial" w:hAnsi="Arial"/>
              </w:rPr>
            </w:pPr>
            <w:r w:rsidDel="00000000" w:rsidR="00000000" w:rsidRPr="00000000">
              <w:rPr>
                <w:sz w:val="22"/>
                <w:szCs w:val="22"/>
                <w:rtl w:val="0"/>
              </w:rPr>
              <w:t xml:space="preserve">Amount</w:t>
            </w:r>
            <w:r w:rsidDel="00000000" w:rsidR="00000000" w:rsidRPr="00000000">
              <w:rPr>
                <w:rtl w:val="0"/>
              </w:rPr>
            </w:r>
          </w:p>
        </w:tc>
      </w:tr>
    </w:tbl>
    <w:p w:rsidR="00000000" w:rsidDel="00000000" w:rsidP="00000000" w:rsidRDefault="00000000" w:rsidRPr="00000000" w14:paraId="00000057">
      <w:pPr>
        <w:spacing w:after="120" w:before="120" w:line="276" w:lineRule="auto"/>
        <w:ind w:left="40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8">
      <w:pPr>
        <w:numPr>
          <w:ilvl w:val="0"/>
          <w:numId w:val="1"/>
        </w:numPr>
        <w:spacing w:after="120" w:before="12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Goods movement and minimum balances</w:t>
      </w:r>
    </w:p>
    <w:tbl>
      <w:tblPr>
        <w:tblStyle w:val="Table5"/>
        <w:jc w:val="left"/>
        <w:tblLayout w:type="fixed"/>
        <w:tblLook w:val="0600"/>
      </w:tblPr>
      <w:tblGrid>
        <w:gridCol w:w="830.6"/>
        <w:gridCol w:w="830.6"/>
        <w:gridCol w:w="830.6"/>
        <w:gridCol w:w="830.6"/>
        <w:gridCol w:w="830.6"/>
        <w:gridCol w:w="830.6"/>
        <w:gridCol w:w="830.6"/>
        <w:gridCol w:w="830.6"/>
        <w:gridCol w:w="830.6"/>
        <w:gridCol w:w="830.6"/>
        <w:tblGridChange w:id="0">
          <w:tblGrid>
            <w:gridCol w:w="830.6"/>
            <w:gridCol w:w="830.6"/>
            <w:gridCol w:w="830.6"/>
            <w:gridCol w:w="830.6"/>
            <w:gridCol w:w="830.6"/>
            <w:gridCol w:w="830.6"/>
            <w:gridCol w:w="830.6"/>
            <w:gridCol w:w="830.6"/>
            <w:gridCol w:w="830.6"/>
            <w:gridCol w:w="830.6"/>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rFonts w:ascii="Arial" w:cs="Arial" w:eastAsia="Arial" w:hAnsi="Arial"/>
              </w:rPr>
            </w:pPr>
            <w:r w:rsidDel="00000000" w:rsidR="00000000" w:rsidRPr="00000000">
              <w:rPr>
                <w:sz w:val="22"/>
                <w:szCs w:val="22"/>
                <w:rtl w:val="0"/>
              </w:rPr>
              <w:t xml:space="preserve">Warehouse</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jc w:val="center"/>
              <w:rPr>
                <w:rFonts w:ascii="Arial" w:cs="Arial" w:eastAsia="Arial" w:hAnsi="Arial"/>
              </w:rPr>
            </w:pPr>
            <w:r w:rsidDel="00000000" w:rsidR="00000000" w:rsidRPr="00000000">
              <w:rPr>
                <w:sz w:val="22"/>
                <w:szCs w:val="22"/>
                <w:rtl w:val="0"/>
              </w:rPr>
              <w:t xml:space="preserve">Opening balance</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jc w:val="center"/>
              <w:rPr>
                <w:rFonts w:ascii="Arial" w:cs="Arial" w:eastAsia="Arial" w:hAnsi="Arial"/>
              </w:rPr>
            </w:pPr>
            <w:r w:rsidDel="00000000" w:rsidR="00000000" w:rsidRPr="00000000">
              <w:rPr>
                <w:sz w:val="22"/>
                <w:szCs w:val="22"/>
                <w:rtl w:val="0"/>
              </w:rPr>
              <w:t xml:space="preserve">Receipt</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jc w:val="center"/>
              <w:rPr>
                <w:rFonts w:ascii="Arial" w:cs="Arial" w:eastAsia="Arial" w:hAnsi="Arial"/>
              </w:rPr>
            </w:pPr>
            <w:r w:rsidDel="00000000" w:rsidR="00000000" w:rsidRPr="00000000">
              <w:rPr>
                <w:sz w:val="22"/>
                <w:szCs w:val="22"/>
                <w:rtl w:val="0"/>
              </w:rPr>
              <w:t xml:space="preserve">Expense</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jc w:val="center"/>
              <w:rPr>
                <w:rFonts w:ascii="Arial" w:cs="Arial" w:eastAsia="Arial" w:hAnsi="Arial"/>
              </w:rPr>
            </w:pPr>
            <w:r w:rsidDel="00000000" w:rsidR="00000000" w:rsidRPr="00000000">
              <w:rPr>
                <w:sz w:val="22"/>
                <w:szCs w:val="22"/>
                <w:rtl w:val="0"/>
              </w:rPr>
              <w:t xml:space="preserve">Closing balance</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76" w:lineRule="auto"/>
              <w:rPr>
                <w:rFonts w:ascii="Arial" w:cs="Arial" w:eastAsia="Arial" w:hAnsi="Arial"/>
              </w:rPr>
            </w:pPr>
            <w:r w:rsidDel="00000000" w:rsidR="00000000" w:rsidRPr="00000000">
              <w:rPr>
                <w:rFonts w:ascii="Arial" w:cs="Arial" w:eastAsia="Arial" w:hAnsi="Arial"/>
                <w:rtl w:val="0"/>
              </w:rPr>
              <w:t xml:space="preserve">Required minimum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rFonts w:ascii="Arial" w:cs="Arial" w:eastAsia="Arial" w:hAnsi="Arial"/>
              </w:rPr>
            </w:pPr>
            <w:r w:rsidDel="00000000" w:rsidR="00000000" w:rsidRPr="00000000">
              <w:rPr>
                <w:sz w:val="22"/>
                <w:szCs w:val="22"/>
                <w:rtl w:val="0"/>
              </w:rPr>
              <w:t xml:space="preserve">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rFonts w:ascii="Arial" w:cs="Arial" w:eastAsia="Arial" w:hAnsi="Arial"/>
              </w:rPr>
            </w:pPr>
            <w:r w:rsidDel="00000000" w:rsidR="00000000" w:rsidRPr="00000000">
              <w:rPr>
                <w:sz w:val="22"/>
                <w:szCs w:val="22"/>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rFonts w:ascii="Arial" w:cs="Arial" w:eastAsia="Arial" w:hAnsi="Arial"/>
              </w:rPr>
            </w:pPr>
            <w:r w:rsidDel="00000000" w:rsidR="00000000" w:rsidRPr="00000000">
              <w:rPr>
                <w:sz w:val="22"/>
                <w:szCs w:val="22"/>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rFonts w:ascii="Arial" w:cs="Arial" w:eastAsia="Arial" w:hAnsi="Arial"/>
              </w:rPr>
            </w:pPr>
            <w:r w:rsidDel="00000000" w:rsidR="00000000" w:rsidRPr="00000000">
              <w:rPr>
                <w:sz w:val="22"/>
                <w:szCs w:val="22"/>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rFonts w:ascii="Arial" w:cs="Arial" w:eastAsia="Arial" w:hAnsi="Arial"/>
              </w:rPr>
            </w:pPr>
            <w:r w:rsidDel="00000000" w:rsidR="00000000" w:rsidRPr="00000000">
              <w:rPr>
                <w:sz w:val="22"/>
                <w:szCs w:val="22"/>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rFonts w:ascii="Arial" w:cs="Arial" w:eastAsia="Arial" w:hAnsi="Arial"/>
              </w:rPr>
            </w:pPr>
            <w:r w:rsidDel="00000000" w:rsidR="00000000" w:rsidRPr="00000000">
              <w:rPr>
                <w:sz w:val="22"/>
                <w:szCs w:val="22"/>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rFonts w:ascii="Arial" w:cs="Arial" w:eastAsia="Arial" w:hAnsi="Arial"/>
              </w:rPr>
            </w:pPr>
            <w:r w:rsidDel="00000000" w:rsidR="00000000" w:rsidRPr="00000000">
              <w:rPr>
                <w:sz w:val="22"/>
                <w:szCs w:val="22"/>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rFonts w:ascii="Arial" w:cs="Arial" w:eastAsia="Arial" w:hAnsi="Arial"/>
              </w:rPr>
            </w:pPr>
            <w:r w:rsidDel="00000000" w:rsidR="00000000" w:rsidRPr="00000000">
              <w:rPr>
                <w:sz w:val="22"/>
                <w:szCs w:val="22"/>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rFonts w:ascii="Arial" w:cs="Arial" w:eastAsia="Arial" w:hAnsi="Arial"/>
              </w:rPr>
            </w:pPr>
            <w:r w:rsidDel="00000000" w:rsidR="00000000" w:rsidRPr="00000000">
              <w:rPr>
                <w:sz w:val="22"/>
                <w:szCs w:val="22"/>
                <w:rtl w:val="0"/>
              </w:rPr>
              <w:t xml:space="preserve">Amount</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6D">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get back to getting data on minimum product balances in warehouses. Let's assume that our system is integrated with a third-party warehouse management system, which automates the process of calculating the required minimum product balances in warehouses, and our system is capable of sending a request to that system and receiving a response in the form of this data.</w:t>
      </w:r>
    </w:p>
    <w:p w:rsidR="00000000" w:rsidDel="00000000" w:rsidP="00000000" w:rsidRDefault="00000000" w:rsidRPr="00000000" w14:paraId="0000006E">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Of course, you will not do any integration with the warehouse management system as part of the task, instead, you need to create a server common module "IntegrationWithWarehouseManagementSystem", in which you will create an export function that should return a table of minimum product balances in warehouses. The returned value should be a value table ​​with the columns Warehouse, Product, MinimumBalance.</w:t>
      </w:r>
    </w:p>
    <w:p w:rsidR="00000000" w:rsidDel="00000000" w:rsidP="00000000" w:rsidRDefault="00000000" w:rsidRPr="00000000" w14:paraId="0000006F">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 a code that will create and fill a table with data for all products (product items with the "Product" type) and all warehouses and fill the values ​​of the MinimumBalance column with random numbers in the range from 1 to 20. For example, if your information base has 3 warehouses and 10 product items, 8 of which are products and 2 are services, the resulting table should contain 24 rows.</w:t>
      </w:r>
    </w:p>
    <w:p w:rsidR="00000000" w:rsidDel="00000000" w:rsidP="00000000" w:rsidRDefault="00000000" w:rsidRPr="00000000" w14:paraId="00000070">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data from this minimum balance table should subsequently be transferred to the report.</w:t>
      </w:r>
    </w:p>
    <w:p w:rsidR="00000000" w:rsidDel="00000000" w:rsidP="00000000" w:rsidRDefault="00000000" w:rsidRPr="00000000" w14:paraId="00000071">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data set that selects data on product balances and turnovers in warehouses, group the quantity and amount fields into 4 groups: OpeningBalance, Receipt, Expense, ClosingBalance for ease of working with them.</w:t>
      </w:r>
    </w:p>
    <w:p w:rsidR="00000000" w:rsidDel="00000000" w:rsidP="00000000" w:rsidRDefault="00000000" w:rsidRPr="00000000" w14:paraId="00000072">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MinimumBalance field in the report </w:t>
      </w:r>
      <w:r w:rsidDel="00000000" w:rsidR="00000000" w:rsidRPr="00000000">
        <w:rPr>
          <w:rFonts w:ascii="Verdana" w:cs="Verdana" w:eastAsia="Verdana" w:hAnsi="Verdana"/>
          <w:sz w:val="22"/>
          <w:szCs w:val="22"/>
          <w:u w:val="single"/>
          <w:rtl w:val="0"/>
        </w:rPr>
        <w:t xml:space="preserve">should not be calculated for any groupings except for the "Product" grouping</w:t>
      </w:r>
      <w:r w:rsidDel="00000000" w:rsidR="00000000" w:rsidRPr="00000000">
        <w:rPr>
          <w:rFonts w:ascii="Verdana" w:cs="Verdana" w:eastAsia="Verdana" w:hAnsi="Verdana"/>
          <w:sz w:val="22"/>
          <w:szCs w:val="22"/>
          <w:rtl w:val="0"/>
        </w:rPr>
        <w:t xml:space="preserve">, since the calculated value does not carry any useful information, for example, in the "Warehouse" grouping.</w:t>
      </w:r>
    </w:p>
    <w:p w:rsidR="00000000" w:rsidDel="00000000" w:rsidP="00000000" w:rsidRDefault="00000000" w:rsidRPr="00000000" w14:paraId="00000073">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All fields Quantity and Amount (4 of each) should be easily distinguishable for the user in the Enterprise mode, i.e. should not have the same names among the available fields in the report structure, filters, sortings, etc.</w:t>
      </w:r>
    </w:p>
    <w:p w:rsidR="00000000" w:rsidDel="00000000" w:rsidP="00000000" w:rsidRDefault="00000000" w:rsidRPr="00000000" w14:paraId="00000074">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report period should be represented by a field of the "Standard Period" type on the form. There should be no other period fields on the form or in the report settings window. The form should also have filters by warehouse (condition for equality to one warehouse) and product (condition for inclusion in the list).</w:t>
      </w:r>
    </w:p>
    <w:p w:rsidR="00000000" w:rsidDel="00000000" w:rsidP="00000000" w:rsidRDefault="00000000" w:rsidRPr="00000000" w14:paraId="00000075">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in the first task, change the report design so that the report is not monochromatic.</w:t>
      </w:r>
    </w:p>
    <w:p w:rsidR="00000000" w:rsidDel="00000000" w:rsidP="00000000" w:rsidRDefault="00000000" w:rsidRPr="00000000" w14:paraId="00000076">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Make it so that the background of the cell in the "Quantity closing balance" column changes to some bright color when the quantity of the closing balance is below the minimum (from the MinimumBalance column). Moreover, the highlighting should be made only in the "Product" grouping; there is no need to highlight cells in the "Warehouse" grouping.</w:t>
      </w:r>
    </w:p>
    <w:p w:rsidR="00000000" w:rsidDel="00000000" w:rsidP="00000000" w:rsidRDefault="00000000" w:rsidRPr="00000000" w14:paraId="00000077">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Place the report in the Warehouse subsystem.</w:t>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firstLine="0"/>
      </w:pPr>
      <w:rPr>
        <w:u w:val="none"/>
      </w:rPr>
    </w:lvl>
    <w:lvl w:ilvl="1">
      <w:start w:val="1"/>
      <w:numFmt w:val="lowerLetter"/>
      <w:lvlText w:val="%2)"/>
      <w:lvlJc w:val="left"/>
      <w:pPr>
        <w:ind w:left="1080" w:firstLine="0"/>
      </w:pPr>
      <w:rPr>
        <w:u w:val="none"/>
      </w:rPr>
    </w:lvl>
    <w:lvl w:ilvl="2">
      <w:start w:val="1"/>
      <w:numFmt w:val="lowerRoman"/>
      <w:lvlText w:val="%3)"/>
      <w:lvlJc w:val="right"/>
      <w:pPr>
        <w:ind w:left="1800" w:firstLine="0"/>
      </w:pPr>
      <w:rPr>
        <w:u w:val="none"/>
      </w:rPr>
    </w:lvl>
    <w:lvl w:ilvl="3">
      <w:start w:val="1"/>
      <w:numFmt w:val="decimal"/>
      <w:lvlText w:val="(%4)"/>
      <w:lvlJc w:val="left"/>
      <w:pPr>
        <w:ind w:left="2520" w:firstLine="0"/>
      </w:pPr>
      <w:rPr>
        <w:u w:val="none"/>
      </w:rPr>
    </w:lvl>
    <w:lvl w:ilvl="4">
      <w:start w:val="1"/>
      <w:numFmt w:val="lowerLetter"/>
      <w:lvlText w:val="(%5)"/>
      <w:lvlJc w:val="left"/>
      <w:pPr>
        <w:ind w:left="3240" w:firstLine="0"/>
      </w:pPr>
      <w:rPr>
        <w:u w:val="none"/>
      </w:rPr>
    </w:lvl>
    <w:lvl w:ilvl="5">
      <w:start w:val="1"/>
      <w:numFmt w:val="lowerRoman"/>
      <w:lvlText w:val="(%6)"/>
      <w:lvlJc w:val="right"/>
      <w:pPr>
        <w:ind w:left="3960" w:firstLine="0"/>
      </w:pPr>
      <w:rPr>
        <w:u w:val="none"/>
      </w:rPr>
    </w:lvl>
    <w:lvl w:ilvl="6">
      <w:start w:val="1"/>
      <w:numFmt w:val="decimal"/>
      <w:lvlText w:val="%7."/>
      <w:lvlJc w:val="left"/>
      <w:pPr>
        <w:ind w:left="4680" w:firstLine="0"/>
      </w:pPr>
      <w:rPr>
        <w:u w:val="none"/>
      </w:rPr>
    </w:lvl>
    <w:lvl w:ilvl="7">
      <w:start w:val="1"/>
      <w:numFmt w:val="lowerLetter"/>
      <w:lvlText w:val="%8."/>
      <w:lvlJc w:val="left"/>
      <w:pPr>
        <w:ind w:left="5400" w:firstLine="0"/>
      </w:pPr>
      <w:rPr>
        <w:u w:val="none"/>
      </w:rPr>
    </w:lvl>
    <w:lvl w:ilvl="8">
      <w:start w:val="1"/>
      <w:numFmt w:val="lowerRoman"/>
      <w:lvlText w:val="%9."/>
      <w:lvlJc w:val="right"/>
      <w:pPr>
        <w:ind w:left="6120" w:firstLine="0"/>
      </w:pPr>
      <w:rPr>
        <w:u w:val="none"/>
      </w:rPr>
    </w:lvl>
  </w:abstractNum>
  <w:abstractNum w:abstractNumId="2">
    <w:lvl w:ilvl="0">
      <w:start w:val="1"/>
      <w:numFmt w:val="decimal"/>
      <w:lvlText w:val="%1."/>
      <w:lvlJc w:val="left"/>
      <w:pPr>
        <w:ind w:left="0" w:firstLine="0"/>
      </w:pPr>
      <w:rPr/>
    </w:lvl>
    <w:lvl w:ilvl="1">
      <w:start w:val="0"/>
      <w:numFmt w:val="bullet"/>
      <w:lvlText w:val=" "/>
      <w:lvlJc w:val="left"/>
      <w:pPr>
        <w:ind w:left="0" w:firstLine="0"/>
      </w:pPr>
      <w:rPr/>
    </w:lvl>
    <w:lvl w:ilvl="2">
      <w:start w:val="0"/>
      <w:numFmt w:val="bullet"/>
      <w:lvlText w:val=" "/>
      <w:lvlJc w:val="left"/>
      <w:pPr>
        <w:ind w:left="0" w:firstLine="0"/>
      </w:pPr>
      <w:rPr/>
    </w:lvl>
    <w:lvl w:ilvl="3">
      <w:start w:val="0"/>
      <w:numFmt w:val="bullet"/>
      <w:lvlText w:val=" "/>
      <w:lvlJc w:val="left"/>
      <w:pPr>
        <w:ind w:left="0" w:firstLine="0"/>
      </w:pPr>
      <w:rPr/>
    </w:lvl>
    <w:lvl w:ilvl="4">
      <w:start w:val="0"/>
      <w:numFmt w:val="bullet"/>
      <w:lvlText w:val=" "/>
      <w:lvlJc w:val="left"/>
      <w:pPr>
        <w:ind w:left="0" w:firstLine="0"/>
      </w:pPr>
      <w:rPr/>
    </w:lvl>
    <w:lvl w:ilvl="5">
      <w:start w:val="0"/>
      <w:numFmt w:val="bullet"/>
      <w:lvlText w:val=" "/>
      <w:lvlJc w:val="left"/>
      <w:pPr>
        <w:ind w:left="0" w:firstLine="0"/>
      </w:pPr>
      <w:rPr/>
    </w:lvl>
    <w:lvl w:ilvl="6">
      <w:start w:val="0"/>
      <w:numFmt w:val="bullet"/>
      <w:lvlText w:val=" "/>
      <w:lvlJc w:val="left"/>
      <w:pPr>
        <w:ind w:left="0" w:firstLine="0"/>
      </w:pPr>
      <w:rPr/>
    </w:lvl>
    <w:lvl w:ilvl="7">
      <w:start w:val="0"/>
      <w:numFmt w:val="bullet"/>
      <w:lvlText w:val=" "/>
      <w:lvlJc w:val="left"/>
      <w:pPr>
        <w:ind w:left="0" w:firstLine="0"/>
      </w:pPr>
      <w:rPr/>
    </w:lvl>
    <w:lvl w:ilvl="8">
      <w:start w:val="0"/>
      <w:numFmt w:val="bullet"/>
      <w:lvlText w:val=" "/>
      <w:lvlJc w:val="left"/>
      <w:pPr>
        <w:ind w:left="0" w:firstLine="0"/>
      </w:pPr>
      <w:rPr/>
    </w:lvl>
  </w:abstractNum>
  <w:abstractNum w:abstractNumId="3">
    <w:lvl w:ilvl="0">
      <w:start w:val="0"/>
      <w:numFmt w:val="bullet"/>
      <w:lvlText w:val="●"/>
      <w:lvlJc w:val="left"/>
      <w:pPr>
        <w:ind w:left="360" w:firstLine="0"/>
      </w:pPr>
      <w:rPr>
        <w:u w:val="none"/>
      </w:rPr>
    </w:lvl>
    <w:lvl w:ilvl="1">
      <w:start w:val="0"/>
      <w:numFmt w:val="bullet"/>
      <w:lvlText w:val="○"/>
      <w:lvlJc w:val="left"/>
      <w:pPr>
        <w:ind w:left="1080" w:firstLine="0"/>
      </w:pPr>
      <w:rPr>
        <w:u w:val="none"/>
      </w:rPr>
    </w:lvl>
    <w:lvl w:ilvl="2">
      <w:start w:val="0"/>
      <w:numFmt w:val="bullet"/>
      <w:lvlText w:val="■"/>
      <w:lvlJc w:val="left"/>
      <w:pPr>
        <w:ind w:left="1800" w:firstLine="0"/>
      </w:pPr>
      <w:rPr>
        <w:u w:val="none"/>
      </w:rPr>
    </w:lvl>
    <w:lvl w:ilvl="3">
      <w:start w:val="0"/>
      <w:numFmt w:val="bullet"/>
      <w:lvlText w:val="●"/>
      <w:lvlJc w:val="left"/>
      <w:pPr>
        <w:ind w:left="2520" w:firstLine="0"/>
      </w:pPr>
      <w:rPr>
        <w:u w:val="none"/>
      </w:rPr>
    </w:lvl>
    <w:lvl w:ilvl="4">
      <w:start w:val="0"/>
      <w:numFmt w:val="bullet"/>
      <w:lvlText w:val="○"/>
      <w:lvlJc w:val="left"/>
      <w:pPr>
        <w:ind w:left="3240" w:firstLine="0"/>
      </w:pPr>
      <w:rPr>
        <w:u w:val="none"/>
      </w:rPr>
    </w:lvl>
    <w:lvl w:ilvl="5">
      <w:start w:val="0"/>
      <w:numFmt w:val="bullet"/>
      <w:lvlText w:val="■"/>
      <w:lvlJc w:val="left"/>
      <w:pPr>
        <w:ind w:left="3960" w:firstLine="0"/>
      </w:pPr>
      <w:rPr>
        <w:u w:val="none"/>
      </w:rPr>
    </w:lvl>
    <w:lvl w:ilvl="6">
      <w:start w:val="0"/>
      <w:numFmt w:val="bullet"/>
      <w:lvlText w:val="●"/>
      <w:lvlJc w:val="left"/>
      <w:pPr>
        <w:ind w:left="4680" w:firstLine="0"/>
      </w:pPr>
      <w:rPr>
        <w:u w:val="none"/>
      </w:rPr>
    </w:lvl>
    <w:lvl w:ilvl="7">
      <w:start w:val="0"/>
      <w:numFmt w:val="bullet"/>
      <w:lvlText w:val="○"/>
      <w:lvlJc w:val="left"/>
      <w:pPr>
        <w:ind w:left="5400" w:firstLine="0"/>
      </w:pPr>
      <w:rPr>
        <w:u w:val="none"/>
      </w:rPr>
    </w:lvl>
    <w:lvl w:ilvl="8">
      <w:start w:val="0"/>
      <w:numFmt w:val="bullet"/>
      <w:lvlText w:val="■"/>
      <w:lvlJc w:val="left"/>
      <w:pPr>
        <w:ind w:left="612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para0" w:default="1">
    <w:name w:val="Normal"/>
    <w:qFormat w:val="1"/>
  </w:style>
  <w:style w:type="paragraph" w:styleId="para1">
    <w:name w:val="heading 1"/>
    <w:basedOn w:val="para0"/>
    <w:next w:val="para0"/>
    <w:qFormat w:val="1"/>
    <w:pPr>
      <w:keepNext w:val="1"/>
      <w:keepLines w:val="1"/>
      <w:spacing w:after="120" w:before="480"/>
    </w:pPr>
    <w:rPr>
      <w:b w:val="1"/>
      <w:sz w:val="48"/>
      <w:szCs w:val="48"/>
    </w:rPr>
  </w:style>
  <w:style w:type="paragraph" w:styleId="para2">
    <w:name w:val="heading 2"/>
    <w:basedOn w:val="para0"/>
    <w:next w:val="para0"/>
    <w:qFormat w:val="1"/>
    <w:pPr>
      <w:keepNext w:val="1"/>
      <w:keepLines w:val="1"/>
      <w:spacing w:after="80" w:before="360"/>
    </w:pPr>
    <w:rPr>
      <w:b w:val="1"/>
      <w:sz w:val="36"/>
      <w:szCs w:val="36"/>
    </w:rPr>
  </w:style>
  <w:style w:type="paragraph" w:styleId="para3">
    <w:name w:val="heading 3"/>
    <w:basedOn w:val="para0"/>
    <w:next w:val="para0"/>
    <w:qFormat w:val="1"/>
    <w:pPr>
      <w:keepNext w:val="1"/>
      <w:keepLines w:val="1"/>
      <w:spacing w:after="80" w:before="280"/>
    </w:pPr>
    <w:rPr>
      <w:b w:val="1"/>
      <w:sz w:val="28"/>
      <w:szCs w:val="28"/>
    </w:rPr>
  </w:style>
  <w:style w:type="paragraph" w:styleId="para4">
    <w:name w:val="heading 4"/>
    <w:basedOn w:val="para0"/>
    <w:next w:val="para0"/>
    <w:qFormat w:val="1"/>
    <w:pPr>
      <w:keepNext w:val="1"/>
      <w:keepLines w:val="1"/>
      <w:spacing w:after="40" w:before="240"/>
    </w:pPr>
    <w:rPr>
      <w:b w:val="1"/>
      <w:sz w:val="24"/>
      <w:szCs w:val="24"/>
    </w:rPr>
  </w:style>
  <w:style w:type="paragraph" w:styleId="para5">
    <w:name w:val="heading 5"/>
    <w:basedOn w:val="para0"/>
    <w:next w:val="para0"/>
    <w:qFormat w:val="1"/>
    <w:pPr>
      <w:keepNext w:val="1"/>
      <w:keepLines w:val="1"/>
      <w:spacing w:after="40" w:before="220"/>
    </w:pPr>
    <w:rPr>
      <w:b w:val="1"/>
      <w:sz w:val="22"/>
      <w:szCs w:val="22"/>
    </w:rPr>
  </w:style>
  <w:style w:type="paragraph" w:styleId="para6">
    <w:name w:val="heading 6"/>
    <w:basedOn w:val="para0"/>
    <w:next w:val="para0"/>
    <w:qFormat w:val="1"/>
    <w:pPr>
      <w:keepNext w:val="1"/>
      <w:keepLines w:val="1"/>
      <w:spacing w:after="40" w:before="200"/>
    </w:pPr>
    <w:rPr>
      <w:b w:val="1"/>
    </w:rPr>
  </w:style>
  <w:style w:type="paragraph" w:styleId="para7">
    <w:name w:val="Title"/>
    <w:basedOn w:val="para0"/>
    <w:next w:val="para0"/>
    <w:qFormat w:val="1"/>
    <w:pPr>
      <w:keepNext w:val="1"/>
      <w:keepLines w:val="1"/>
      <w:spacing w:after="120" w:before="480"/>
    </w:pPr>
    <w:rPr>
      <w:b w:val="1"/>
      <w:sz w:val="72"/>
      <w:szCs w:val="72"/>
    </w:rPr>
  </w:style>
  <w:style w:type="paragraph" w:styleId="para8" w:customStyle="1">
    <w:name w:val="Normal*"/>
    <w:qFormat w:val="1"/>
    <w:rPr>
      <w:rFonts w:ascii="Calibri" w:cs="Calibri" w:eastAsia="Calibri" w:hAnsi="Calibri"/>
      <w:lang w:bidi="ar-sa" w:eastAsia="zh-cn" w:val="en-us"/>
    </w:rPr>
  </w:style>
  <w:style w:type="paragraph" w:styleId="para9">
    <w:name w:val="Footer"/>
    <w:basedOn w:val="para8"/>
    <w:qFormat w:val="1"/>
    <w:pPr>
      <w:tabs>
        <w:tab w:val="center" w:leader="none" w:pos="4153"/>
        <w:tab w:val="right" w:leader="none" w:pos="8306"/>
      </w:tabs>
    </w:pPr>
    <w:rPr>
      <w:sz w:val="18"/>
      <w:szCs w:val="18"/>
    </w:rPr>
  </w:style>
  <w:style w:type="paragraph" w:styleId="para10">
    <w:name w:val="Header"/>
    <w:basedOn w:val="para8"/>
    <w:qFormat w:val="1"/>
    <w:pPr>
      <w:tabs>
        <w:tab w:val="center" w:leader="none" w:pos="4153"/>
        <w:tab w:val="right" w:leader="none" w:pos="8306"/>
      </w:tabs>
    </w:pPr>
    <w:rPr>
      <w:sz w:val="18"/>
      <w:szCs w:val="18"/>
    </w:rPr>
  </w:style>
  <w:style w:type="paragraph" w:styleId="para11">
    <w:name w:val="List Paragraph"/>
    <w:basedOn w:val="para8"/>
    <w:qFormat w:val="1"/>
    <w:pPr>
      <w:ind w:left="720"/>
      <w:contextualSpacing w:val="1"/>
    </w:pPr>
  </w:style>
  <w:style w:type="paragraph" w:styleId="para12">
    <w:name w:val="Subtitle"/>
    <w:basedOn w:val="para0"/>
    <w:next w:val="para0"/>
    <w:qFormat w:val="1"/>
    <w:pPr>
      <w:keepNext w:val="1"/>
      <w:keepLines w:val="1"/>
      <w:spacing w:after="80" w:before="360"/>
    </w:pPr>
    <w:rPr>
      <w:rFonts w:ascii="Georgia" w:cs="Georgia" w:eastAsia="Georgia" w:hAnsi="Georgia"/>
      <w:i w:val="1"/>
      <w:color w:val="666666"/>
      <w:sz w:val="48"/>
      <w:szCs w:val="48"/>
    </w:rPr>
  </w:style>
  <w:style w:type="character" w:styleId="char0" w:default="1">
    <w:name w:val="Default Paragraph Font"/>
  </w:style>
  <w:style w:type="table" w:styleId="TableNormal" w:default="1">
    <w:name w:val="Normal Table"/>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TableGrid">
    <w:name w:val="Table Grid"/>
    <w:basedOn w:val="TableNormal"/>
    <w:uiPriority w:val="59"/>
    <w:pPr>
      <w:widowControl w:val="0"/>
      <w:spacing/>
      <w:jc w:val="both"/>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name w:val=""/>
    <w:basedOn w:val="TableNormal"/>
    <w:tblPr>
      <w:tblStyleRowBandSize w:val="1"/>
      <w:tblStyleColBandSize w:val="1"/>
      <w:tblCellMar>
        <w:top w:w="100.0" w:type="dxa"/>
        <w:left w:w="100.0" w:type="dxa"/>
        <w:bottom w:w="100.0" w:type="dxa"/>
        <w:right w:w="100.0" w:type="dxa"/>
      </w:tblCellMar>
    </w:tblPr>
  </w:style>
  <w:style w:type="table">
    <w:name w:val=""/>
    <w:basedOn w:val="TableNormal"/>
    <w:tblPr>
      <w:tblStyleRowBandSize w:val="1"/>
      <w:tblStyleColBandSize w:val="1"/>
      <w:tblCellMar>
        <w:top w:w="100.0" w:type="dxa"/>
        <w:left w:w="100.0" w:type="dxa"/>
        <w:bottom w:w="100.0" w:type="dxa"/>
        <w:right w:w="100.0" w:type="dxa"/>
      </w:tblCellMar>
    </w:tblPr>
  </w:style>
  <w:style w:type="table">
    <w:name w:val=""/>
    <w:basedOn w:val="TableNormal"/>
    <w:tblPr>
      <w:tblStyleRowBandSize w:val="1"/>
      <w:tblStyleColBandSize w:val="1"/>
      <w:tblCellMar>
        <w:top w:w="100.0" w:type="dxa"/>
        <w:left w:w="100.0" w:type="dxa"/>
        <w:bottom w:w="100.0" w:type="dxa"/>
        <w:right w:w="100.0" w:type="dxa"/>
      </w:tblCellMar>
    </w:tblPr>
  </w:style>
  <w:style w:type="table">
    <w:name w:val=""/>
    <w:basedOn w:val="TableNormal"/>
    <w:tblPr>
      <w:tblStyleRowBandSize w:val="1"/>
      <w:tblStyleColBandSize w:val="1"/>
      <w:tblCellMar>
        <w:top w:w="100.0" w:type="dxa"/>
        <w:left w:w="100.0" w:type="dxa"/>
        <w:bottom w:w="100.0" w:type="dxa"/>
        <w:right w:w="100.0" w:type="dxa"/>
      </w:tblCellMar>
    </w:tblPr>
  </w:style>
  <w:style w:type="table">
    <w:name w:val=""/>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MMCGvfg884lMKTuc9eivgNUxg==">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