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C36FA">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Triển khai cơ chế Kế toán trong cấu hình. Kế toán cần có định khoản Nợ/Có (Dr/Cr) đồng thời cho phép chỉ định đối tượng phân tích bổ sung cho các tài khoản.</w:t>
      </w:r>
    </w:p>
    <w:p w14:paraId="145DBA6F">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Cho phép người dùng bật hoặc tắt tính năng kế toán. Nếu người dùng chưa bật sử dụng</w:t>
      </w:r>
      <w:bookmarkStart w:id="1" w:name="_GoBack"/>
      <w:bookmarkEnd w:id="1"/>
      <w:r>
        <w:rPr>
          <w:rFonts w:hint="default" w:ascii="Verdana" w:hAnsi="Verdana" w:eastAsia="Verdana"/>
          <w:sz w:val="22"/>
          <w:szCs w:val="22"/>
          <w:lang w:val="en-US"/>
        </w:rPr>
        <w:t xml:space="preserve"> kế toán, thì họ sẽ không nhìn thấy các đối tượng liên quan đến kế toán trong hệ thống.</w:t>
      </w:r>
    </w:p>
    <w:p w14:paraId="26D9B2F1">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các tài khoản sau: 01. Goods, 02. Trade payables, 03. Trade receivables. Tài khoản Goods phải được hạch toán theo từng mặt hàng và kho bãi, ngoài số tiền, còn phải theo dõi cả số lượng mặt hàng. Tài khoản Trade payables và Trade receivables phải được hạch toán chi tiết theo từng đối tác (counterparties).</w:t>
      </w:r>
    </w:p>
    <w:p w14:paraId="4F2F3CB6">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Chỉnh sửa các chứng từ mua hàng, bán hàng, trả lại và điều chuyển để khi mua hàng, hệ thống tự động tạo ra bút toán sau:</w:t>
      </w:r>
    </w:p>
    <w:p w14:paraId="2069A55C">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Goods - Cr Trade payables</w:t>
      </w:r>
    </w:p>
    <w:p w14:paraId="1A6FD0ED">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Khi bán:</w:t>
      </w:r>
    </w:p>
    <w:p w14:paraId="5A518C8E">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Trade receivables - Cr Goods</w:t>
      </w:r>
    </w:p>
    <w:p w14:paraId="165B406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Khi trả lại:</w:t>
      </w:r>
    </w:p>
    <w:p w14:paraId="4C81D5A9">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Trade receivables - Cr Goods (số lượng và số tiền âm).</w:t>
      </w:r>
    </w:p>
    <w:p w14:paraId="7246973B">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Khi điều chuyển hàng hóa:</w:t>
      </w:r>
    </w:p>
    <w:p w14:paraId="463C4288">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Dr Goods - Cr Goods (khác biệt duy nhất ở giá trị chiều đo (dimension) bổ sung "Warehouse")</w:t>
      </w:r>
    </w:p>
    <w:p w14:paraId="0866AFF1">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báo cáo Trial Balance, trong đó phản ánh số dư đầu kỳ báo cáo, phát sinh trong kỳ và số dư cuối kỳ báo cáo theo từng tài khoản, tách riêng bên Nợ và bên Có.</w:t>
      </w:r>
    </w:p>
    <w:p w14:paraId="2EA7AA24">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Tạo một chứng từ cho phép bạn nhập bút toán tùy ý vào biểu ghi kế toán; chứng từ này không được có thuộc tính kết chuyển. Khi đánh dấu xóa chứng từ, nó cũng không được ảnh hưởng đến số liệu tổng của biểu ghi kế toán, nhưng phải lưu tập hợp bản ghi trong trường hợp người dùng muốn tiếp tục làm việc với chứng từ (sửa bản ghi, bỏ dấu xóa).</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046D3"/>
    <w:multiLevelType w:val="singleLevel"/>
    <w:tmpl w:val="C20046D3"/>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1E45CAB"/>
    <w:rsid w:val="087E3E1C"/>
    <w:rsid w:val="09F50EE2"/>
    <w:rsid w:val="20936194"/>
    <w:rsid w:val="29B10C44"/>
    <w:rsid w:val="2D0E2BC0"/>
    <w:rsid w:val="2E467716"/>
    <w:rsid w:val="30691E30"/>
    <w:rsid w:val="308629A5"/>
    <w:rsid w:val="424E434C"/>
    <w:rsid w:val="47747C52"/>
    <w:rsid w:val="581F2818"/>
    <w:rsid w:val="59613A2F"/>
    <w:rsid w:val="5C5C2FCC"/>
    <w:rsid w:val="628D77A1"/>
    <w:rsid w:val="66E70A1D"/>
    <w:rsid w:val="68EA74FF"/>
    <w:rsid w:val="6FEE58CD"/>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1</Pages>
  <TotalTime>70</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2025-04-23T08:31:07Z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