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EDD8">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Tạo bộ xử lý bổ sung toàn cục (global additional data processor) mới có kiểu “Additional data processor”, đặt nó vào phân hệ mới “My projects”. Bộ xử lý này sẽ cung cấp tính năng đánh giá lại hàng hóa dựa trên tỷ lệ phần trăm được chỉ định. Cách thức thực hiện như sau: người dùng mở bộ xử lý, nhập ngày có đơn giá mới và giá trị số vào trường “Percentage” (giá trị có thể là âm hoặc dương), sau đó nhập vào “Revaluate”, kết quả là đối với mỗi mặt hàng có bản ghi trong biểu ghi thông tin “Demo: Product prices” trước ngày mà người dùng chỉ định, thì trong biểu ghi cần tạo ra bản ghi mới vào ngày chỉ định, trong đó đơn giá mới bằng đơn giá cũ nhân với tỷ lệ phần trăm. Giả sử, biểu ghi thông tin "Product prices" có chứa các bản ghi này,</w:t>
      </w:r>
    </w:p>
    <w:tbl>
      <w:tblPr>
        <w:tblStyle w:val="9"/>
        <w:tblW w:w="61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00"/>
        <w:gridCol w:w="3550"/>
        <w:gridCol w:w="1230"/>
      </w:tblGrid>
      <w:tr w14:paraId="2602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00" w:type="dxa"/>
            <w:tcBorders>
              <w:top w:val="nil"/>
              <w:left w:val="nil"/>
              <w:bottom w:val="nil"/>
              <w:right w:val="nil"/>
            </w:tcBorders>
            <w:shd w:val="clear" w:color="auto" w:fill="auto"/>
            <w:noWrap/>
            <w:vAlign w:val="center"/>
          </w:tcPr>
          <w:p w14:paraId="2A5CF395">
            <w:pPr>
              <w:keepNext w:val="0"/>
              <w:keepLines w:val="0"/>
              <w:widowControl/>
              <w:suppressLineNumbers w:val="0"/>
              <w:jc w:val="left"/>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Date</w:t>
            </w:r>
          </w:p>
        </w:tc>
        <w:tc>
          <w:tcPr>
            <w:tcW w:w="3390" w:type="dxa"/>
            <w:tcBorders>
              <w:top w:val="nil"/>
              <w:left w:val="nil"/>
              <w:bottom w:val="nil"/>
              <w:right w:val="nil"/>
            </w:tcBorders>
            <w:shd w:val="clear" w:color="auto" w:fill="auto"/>
            <w:noWrap/>
            <w:vAlign w:val="center"/>
          </w:tcPr>
          <w:p w14:paraId="15DE1D14">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Product</w:t>
            </w:r>
          </w:p>
        </w:tc>
        <w:tc>
          <w:tcPr>
            <w:tcW w:w="1230" w:type="dxa"/>
            <w:tcBorders>
              <w:top w:val="nil"/>
              <w:left w:val="nil"/>
              <w:bottom w:val="nil"/>
              <w:right w:val="nil"/>
            </w:tcBorders>
            <w:shd w:val="clear" w:color="auto" w:fill="auto"/>
            <w:noWrap/>
            <w:vAlign w:val="center"/>
          </w:tcPr>
          <w:p w14:paraId="65DBD029">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Price</w:t>
            </w:r>
          </w:p>
        </w:tc>
      </w:tr>
      <w:tr w14:paraId="6E523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514A4A2D">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15.10.2024</w:t>
            </w:r>
          </w:p>
        </w:tc>
        <w:tc>
          <w:tcPr>
            <w:tcW w:w="0" w:type="auto"/>
            <w:tcBorders>
              <w:top w:val="nil"/>
              <w:left w:val="nil"/>
              <w:bottom w:val="nil"/>
              <w:right w:val="nil"/>
            </w:tcBorders>
            <w:shd w:val="clear" w:color="auto" w:fill="auto"/>
            <w:noWrap/>
            <w:vAlign w:val="center"/>
          </w:tcPr>
          <w:p w14:paraId="771ACFAE">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Yellow gel pen</w:t>
            </w:r>
          </w:p>
        </w:tc>
        <w:tc>
          <w:tcPr>
            <w:tcW w:w="0" w:type="auto"/>
            <w:tcBorders>
              <w:top w:val="nil"/>
              <w:left w:val="nil"/>
              <w:bottom w:val="nil"/>
              <w:right w:val="nil"/>
            </w:tcBorders>
            <w:shd w:val="clear" w:color="auto" w:fill="auto"/>
            <w:noWrap/>
            <w:vAlign w:val="center"/>
          </w:tcPr>
          <w:p w14:paraId="5AAABC9D">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30</w:t>
            </w:r>
          </w:p>
        </w:tc>
      </w:tr>
      <w:tr w14:paraId="30830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12D3ECEB">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20.10.2024</w:t>
            </w:r>
          </w:p>
        </w:tc>
        <w:tc>
          <w:tcPr>
            <w:tcW w:w="0" w:type="auto"/>
            <w:tcBorders>
              <w:top w:val="nil"/>
              <w:left w:val="nil"/>
              <w:bottom w:val="nil"/>
              <w:right w:val="nil"/>
            </w:tcBorders>
            <w:shd w:val="clear" w:color="auto" w:fill="auto"/>
            <w:noWrap/>
            <w:vAlign w:val="center"/>
          </w:tcPr>
          <w:p w14:paraId="0F88B6C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Set of colored pencils, 12 pcs.</w:t>
            </w:r>
          </w:p>
        </w:tc>
        <w:tc>
          <w:tcPr>
            <w:tcW w:w="0" w:type="auto"/>
            <w:tcBorders>
              <w:top w:val="nil"/>
              <w:left w:val="nil"/>
              <w:bottom w:val="nil"/>
              <w:right w:val="nil"/>
            </w:tcBorders>
            <w:shd w:val="clear" w:color="auto" w:fill="auto"/>
            <w:noWrap/>
            <w:vAlign w:val="center"/>
          </w:tcPr>
          <w:p w14:paraId="5955D984">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150</w:t>
            </w:r>
          </w:p>
        </w:tc>
      </w:tr>
      <w:tr w14:paraId="4644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203DB035">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22.10.2024</w:t>
            </w:r>
          </w:p>
        </w:tc>
        <w:tc>
          <w:tcPr>
            <w:tcW w:w="0" w:type="auto"/>
            <w:tcBorders>
              <w:top w:val="nil"/>
              <w:left w:val="nil"/>
              <w:bottom w:val="nil"/>
              <w:right w:val="nil"/>
            </w:tcBorders>
            <w:shd w:val="clear" w:color="auto" w:fill="auto"/>
            <w:noWrap/>
            <w:vAlign w:val="center"/>
          </w:tcPr>
          <w:p w14:paraId="6F2BDAB8">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cs="Verdana"/>
                <w:sz w:val="24"/>
                <w:szCs w:val="24"/>
              </w:rPr>
              <w:t>Yellow gel pen</w:t>
            </w:r>
          </w:p>
        </w:tc>
        <w:tc>
          <w:tcPr>
            <w:tcW w:w="0" w:type="auto"/>
            <w:tcBorders>
              <w:top w:val="nil"/>
              <w:left w:val="nil"/>
              <w:bottom w:val="nil"/>
              <w:right w:val="nil"/>
            </w:tcBorders>
            <w:shd w:val="clear" w:color="auto" w:fill="auto"/>
            <w:noWrap/>
            <w:vAlign w:val="center"/>
          </w:tcPr>
          <w:p w14:paraId="2ECFEF03">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32</w:t>
            </w:r>
          </w:p>
        </w:tc>
      </w:tr>
      <w:tr w14:paraId="0CE94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043E6DB3">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22.10.2024</w:t>
            </w:r>
          </w:p>
        </w:tc>
        <w:tc>
          <w:tcPr>
            <w:tcW w:w="0" w:type="auto"/>
            <w:tcBorders>
              <w:top w:val="nil"/>
              <w:left w:val="nil"/>
              <w:bottom w:val="nil"/>
              <w:right w:val="nil"/>
            </w:tcBorders>
            <w:shd w:val="clear" w:color="auto" w:fill="auto"/>
            <w:noWrap/>
            <w:vAlign w:val="center"/>
          </w:tcPr>
          <w:p w14:paraId="635F51EC">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Eraser "Capybara"</w:t>
            </w:r>
          </w:p>
        </w:tc>
        <w:tc>
          <w:tcPr>
            <w:tcW w:w="0" w:type="auto"/>
            <w:tcBorders>
              <w:top w:val="nil"/>
              <w:left w:val="nil"/>
              <w:bottom w:val="nil"/>
              <w:right w:val="nil"/>
            </w:tcBorders>
            <w:shd w:val="clear" w:color="auto" w:fill="auto"/>
            <w:noWrap/>
            <w:vAlign w:val="center"/>
          </w:tcPr>
          <w:p w14:paraId="4ACD6B3F">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50</w:t>
            </w:r>
          </w:p>
        </w:tc>
      </w:tr>
      <w:tr w14:paraId="20C2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52B96D3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01.11.2024</w:t>
            </w:r>
          </w:p>
        </w:tc>
        <w:tc>
          <w:tcPr>
            <w:tcW w:w="0" w:type="auto"/>
            <w:tcBorders>
              <w:top w:val="nil"/>
              <w:left w:val="nil"/>
              <w:bottom w:val="nil"/>
              <w:right w:val="nil"/>
            </w:tcBorders>
            <w:shd w:val="clear" w:color="auto" w:fill="auto"/>
            <w:noWrap/>
            <w:vAlign w:val="center"/>
          </w:tcPr>
          <w:p w14:paraId="3E9CBBFD">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Ruler 15cm</w:t>
            </w:r>
          </w:p>
        </w:tc>
        <w:tc>
          <w:tcPr>
            <w:tcW w:w="0" w:type="auto"/>
            <w:tcBorders>
              <w:top w:val="nil"/>
              <w:left w:val="nil"/>
              <w:bottom w:val="nil"/>
              <w:right w:val="nil"/>
            </w:tcBorders>
            <w:shd w:val="clear" w:color="auto" w:fill="auto"/>
            <w:noWrap/>
            <w:vAlign w:val="center"/>
          </w:tcPr>
          <w:p w14:paraId="5955EC85">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40</w:t>
            </w:r>
          </w:p>
        </w:tc>
      </w:tr>
    </w:tbl>
    <w:p w14:paraId="71EF86A3">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người dùng chỉ định ngày 23.10.2024 và giá trị -10 tại trường "percentage", thì kết quả xử lý sẽ là thêm 3 bản ghi mới vào biểu ghi:</w:t>
      </w:r>
    </w:p>
    <w:tbl>
      <w:tblPr>
        <w:tblStyle w:val="9"/>
        <w:tblW w:w="61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00"/>
        <w:gridCol w:w="3550"/>
        <w:gridCol w:w="1230"/>
      </w:tblGrid>
      <w:tr w14:paraId="3C978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00" w:type="dxa"/>
            <w:tcBorders>
              <w:top w:val="nil"/>
              <w:left w:val="nil"/>
              <w:bottom w:val="nil"/>
              <w:right w:val="nil"/>
            </w:tcBorders>
            <w:shd w:val="clear" w:color="auto" w:fill="auto"/>
            <w:noWrap/>
            <w:vAlign w:val="center"/>
          </w:tcPr>
          <w:p w14:paraId="530BF908">
            <w:pPr>
              <w:keepNext w:val="0"/>
              <w:keepLines w:val="0"/>
              <w:widowControl/>
              <w:suppressLineNumbers w:val="0"/>
              <w:jc w:val="left"/>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Date</w:t>
            </w:r>
          </w:p>
        </w:tc>
        <w:tc>
          <w:tcPr>
            <w:tcW w:w="3390" w:type="dxa"/>
            <w:tcBorders>
              <w:top w:val="nil"/>
              <w:left w:val="nil"/>
              <w:bottom w:val="nil"/>
              <w:right w:val="nil"/>
            </w:tcBorders>
            <w:shd w:val="clear" w:color="auto" w:fill="auto"/>
            <w:noWrap/>
            <w:vAlign w:val="center"/>
          </w:tcPr>
          <w:p w14:paraId="7A36F15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Product</w:t>
            </w:r>
          </w:p>
        </w:tc>
        <w:tc>
          <w:tcPr>
            <w:tcW w:w="1230" w:type="dxa"/>
            <w:tcBorders>
              <w:top w:val="nil"/>
              <w:left w:val="nil"/>
              <w:bottom w:val="nil"/>
              <w:right w:val="nil"/>
            </w:tcBorders>
            <w:shd w:val="clear" w:color="auto" w:fill="auto"/>
            <w:noWrap/>
            <w:vAlign w:val="center"/>
          </w:tcPr>
          <w:p w14:paraId="2DCBD104">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Price</w:t>
            </w:r>
          </w:p>
        </w:tc>
      </w:tr>
      <w:tr w14:paraId="125D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304E198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23.10.2024</w:t>
            </w:r>
          </w:p>
        </w:tc>
        <w:tc>
          <w:tcPr>
            <w:tcW w:w="0" w:type="auto"/>
            <w:tcBorders>
              <w:top w:val="nil"/>
              <w:left w:val="nil"/>
              <w:bottom w:val="nil"/>
              <w:right w:val="nil"/>
            </w:tcBorders>
            <w:shd w:val="clear" w:color="auto" w:fill="auto"/>
            <w:noWrap/>
            <w:vAlign w:val="center"/>
          </w:tcPr>
          <w:p w14:paraId="6A6891EB">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Set of colored pencils, 12 pcs.</w:t>
            </w:r>
          </w:p>
        </w:tc>
        <w:tc>
          <w:tcPr>
            <w:tcW w:w="0" w:type="auto"/>
            <w:tcBorders>
              <w:top w:val="nil"/>
              <w:left w:val="nil"/>
              <w:bottom w:val="nil"/>
              <w:right w:val="nil"/>
            </w:tcBorders>
            <w:shd w:val="clear" w:color="auto" w:fill="auto"/>
            <w:noWrap/>
            <w:vAlign w:val="center"/>
          </w:tcPr>
          <w:p w14:paraId="53D7837E">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135</w:t>
            </w:r>
          </w:p>
        </w:tc>
      </w:tr>
      <w:tr w14:paraId="1AFA7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36499F30">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23.10.2024</w:t>
            </w:r>
          </w:p>
        </w:tc>
        <w:tc>
          <w:tcPr>
            <w:tcW w:w="0" w:type="auto"/>
            <w:tcBorders>
              <w:top w:val="nil"/>
              <w:left w:val="nil"/>
              <w:bottom w:val="nil"/>
              <w:right w:val="nil"/>
            </w:tcBorders>
            <w:shd w:val="clear" w:color="auto" w:fill="auto"/>
            <w:noWrap/>
            <w:vAlign w:val="center"/>
          </w:tcPr>
          <w:p w14:paraId="1C1BAB82">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Yellow gel pen</w:t>
            </w:r>
          </w:p>
        </w:tc>
        <w:tc>
          <w:tcPr>
            <w:tcW w:w="0" w:type="auto"/>
            <w:tcBorders>
              <w:top w:val="nil"/>
              <w:left w:val="nil"/>
              <w:bottom w:val="nil"/>
              <w:right w:val="nil"/>
            </w:tcBorders>
            <w:shd w:val="clear" w:color="auto" w:fill="auto"/>
            <w:noWrap/>
            <w:vAlign w:val="center"/>
          </w:tcPr>
          <w:p w14:paraId="76DE7451">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28.8</w:t>
            </w:r>
          </w:p>
        </w:tc>
      </w:tr>
      <w:tr w14:paraId="4DB0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14:paraId="15EBF4E6">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23.10.2024</w:t>
            </w:r>
          </w:p>
        </w:tc>
        <w:tc>
          <w:tcPr>
            <w:tcW w:w="0" w:type="auto"/>
            <w:tcBorders>
              <w:top w:val="nil"/>
              <w:left w:val="nil"/>
              <w:bottom w:val="nil"/>
              <w:right w:val="nil"/>
            </w:tcBorders>
            <w:shd w:val="clear" w:color="auto" w:fill="auto"/>
            <w:noWrap/>
            <w:vAlign w:val="center"/>
          </w:tcPr>
          <w:p w14:paraId="708F37F5">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Eraser "Capybara"</w:t>
            </w:r>
          </w:p>
        </w:tc>
        <w:tc>
          <w:tcPr>
            <w:tcW w:w="0" w:type="auto"/>
            <w:tcBorders>
              <w:top w:val="nil"/>
              <w:left w:val="nil"/>
              <w:bottom w:val="nil"/>
              <w:right w:val="nil"/>
            </w:tcBorders>
            <w:shd w:val="clear" w:color="auto" w:fill="auto"/>
            <w:noWrap/>
            <w:vAlign w:val="center"/>
          </w:tcPr>
          <w:p w14:paraId="22ED6EB4">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45</w:t>
            </w:r>
          </w:p>
        </w:tc>
      </w:tr>
    </w:tbl>
    <w:p w14:paraId="4E55325D">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Trong trường hợp này, đơn giá của mặt hàng "Yellow gel pen" sẽ lấy giá trị gần ngày chỉ định nhất và đơn giá của mặt hàng "Ruler 15 cm" không được xử lý, vì trước ngày 23.10.2024 không có đơn giá nào cho mặt hàng này trong biểu ghi.</w:t>
      </w:r>
    </w:p>
    <w:p w14:paraId="74A6114E">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Cần điền các trường "Date" và "Percentage" để thực hiện đánh giá lại!</w:t>
      </w:r>
    </w:p>
    <w:p w14:paraId="7945EB6B">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bộ xử lý bổ sung để điền vào đối tượng "_DemoCustomerProformaInvoice", cho phép người dùng thay đổi đơn giá trong mỗi dòng của phần bảng Goods trên chứng từ theo số nhất định do người dùng chỉ định. Khi thay đổi đơn giá, bạn cũng nên tính lại các trường Sum và Total trong các dòng của phần bảng. Bộ xử lý  phải được thực hiện đối với số lượng chứng từ bất kỳ.</w:t>
      </w:r>
    </w:p>
    <w:p w14:paraId="5289B95A">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bộ xử lý bổ sung để điền vào các đối tượng "_DemoGoodsSales" và "_DemoCustomerProformaInvoice", cho phép điền đơn giá của các mặt hàng trong phần bảng Goods bởi đơn giá từ biểu ghi "Demo: Product prices” là mới nhất vào ngày chứng từ. Trước khi điền, người dùng sẽ nhận được cảnh báo cho biết đơn giá sẽ được điền bằng dữ liệu cập nhật, đồng thời dữ liệu đã điền sẽ bị mất và người dùng có thể từ chối điền, khi đó chứng từ sẽ không thay đổi. Thao tác xử lý phải được thực hiện đối với số lượng chứng từ bất kỳ.</w:t>
      </w:r>
    </w:p>
    <w:p w14:paraId="60C3A74A">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bộ xử lý bổ sung để điền đối tượng lặp lại công việc của bộ xử lý trước đó, chỉ có khác là đối tượng không được ghi vào cơ sở dữ liệu sau khi thực thi lệnh, thay vào đó, biểu mẫu đối tượng sẽ được sửa đổi. Lệnh xử lý này chỉ có thể được thực hiện cho một đối tượng tại một thời điểm và không hiển thị câu hỏi cho người dùng trước khi thực hiện.</w:t>
      </w:r>
    </w:p>
    <w:p w14:paraId="2EA7AA24">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b/>
          <w:bCs/>
          <w:sz w:val="22"/>
          <w:szCs w:val="22"/>
          <w:lang w:val="en-US"/>
        </w:rPr>
        <w:t>Chú ý</w:t>
      </w:r>
      <w:r>
        <w:rPr>
          <w:rFonts w:hint="default" w:ascii="Verdana" w:hAnsi="Verdana" w:eastAsia="Verdana"/>
          <w:sz w:val="22"/>
          <w:szCs w:val="22"/>
          <w:lang w:val="en-US"/>
        </w:rPr>
        <w:t xml:space="preserve">: Các lệnh điền có thể thuộc một hoặc nhiều bộ xử lý bổ sung, mặc dù tốt hơn hết, bộ xử lý chỉ nên chứa các lệnh đồng nhất (uniform commands). Yêu cầu chính là tất cả các lệnh </w:t>
      </w:r>
      <w:bookmarkStart w:id="1" w:name="_GoBack"/>
      <w:bookmarkEnd w:id="1"/>
      <w:r>
        <w:rPr>
          <w:rFonts w:hint="default" w:ascii="Verdana" w:hAnsi="Verdana" w:eastAsia="Verdana"/>
          <w:sz w:val="22"/>
          <w:szCs w:val="22"/>
          <w:lang w:val="en-US"/>
        </w:rPr>
        <w:t>hoạt động không bị lỗi đối với tất cả đối tượng được chỉ định và không hoạt động đối với các đối tượng còn lại.</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9E24A"/>
    <w:multiLevelType w:val="singleLevel"/>
    <w:tmpl w:val="B689E24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4E8539D"/>
    <w:rsid w:val="087E3E1C"/>
    <w:rsid w:val="09F50EE2"/>
    <w:rsid w:val="0B965EE6"/>
    <w:rsid w:val="146A46A9"/>
    <w:rsid w:val="1C16389D"/>
    <w:rsid w:val="1CD239BF"/>
    <w:rsid w:val="20936194"/>
    <w:rsid w:val="21EF42D9"/>
    <w:rsid w:val="29B10C44"/>
    <w:rsid w:val="2ABE7709"/>
    <w:rsid w:val="30691E30"/>
    <w:rsid w:val="308629A5"/>
    <w:rsid w:val="424E434C"/>
    <w:rsid w:val="47747C52"/>
    <w:rsid w:val="546F13B1"/>
    <w:rsid w:val="577A21FD"/>
    <w:rsid w:val="581F2818"/>
    <w:rsid w:val="59613A2F"/>
    <w:rsid w:val="5C5C2FCC"/>
    <w:rsid w:val="628D77A1"/>
    <w:rsid w:val="68EA74FF"/>
    <w:rsid w:val="75034B85"/>
    <w:rsid w:val="77FC4C57"/>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Pages>
  <TotalTime>44</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2025-03-12T09:22:47Z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