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4252"/>
            <w:tcMar>
              <w:top w:w="0" w:type="dxa"/>
              <w:left w:w="0" w:type="dxa"/>
              <w:bottom w:w="0" w:type="dxa"/>
              <w:right w:w="0" w:type="dxa"/>
            </w:tcMar>
          </w:tcPr>
          <w:p>
            <w:pPr>
              <w:spacing w:before="0" w:after="20" w:line="252" w:lineRule="auto"/>
              <w:jc w:val="center"/>
            </w:pPr>
            <w:r>
              <w:rPr>
                <w:rFonts w:ascii="Times New Roman" w:hAnsi="Times New Roman"/>
                <w:b w:val="0"/>
                <w:i w:val="0"/>
                <w:color w:val="000000"/>
                <w:sz w:val="19"/>
                <w:rFonts w:ascii="Times New Roman" w:hAnsi="Times New Roman" w:cs="Times New Roman"/>
              </w:rPr>
              <w:t>CÔNG TY TNHH TƯ VẤN VÀ TRIỂN KHAI</w:t>
              <w:br/>
              <w:t>GIẢI PHÁP CÔNG NGHỆ BÌNH PHÚC</w:t>
            </w:r>
          </w:p>
          <w:p>
            <w:pPr>
              <w:spacing w:before="40" w:after="80" w:line="252" w:lineRule="auto"/>
              <w:jc w:val="center"/>
            </w:pPr>
            <w:r>
              <w:rPr>
                <w:rFonts w:ascii="Times New Roman" w:hAnsi="Times New Roman"/>
                <w:b/>
                <w:i w:val="0"/>
                <w:color w:val="000000"/>
                <w:sz w:val="22"/>
                <w:rFonts w:ascii="Times New Roman" w:hAnsi="Times New Roman" w:cs="Times New Roman"/>
              </w:rPr>
              <w:t>PHÒNG KỸ THUẬT</w:t>
            </w:r>
          </w:p>
          <w:p>
            <w:pPr>
              <w:spacing w:before="40" w:after="0" w:line="276" w:lineRule="auto"/>
              <w:jc w:val="center"/>
            </w:pPr>
            <w:r>
              <w:rPr>
                <w:rFonts w:ascii="Times New Roman" w:hAnsi="Times New Roman"/>
                <w:b w:val="0"/>
                <w:i w:val="0"/>
                <w:color w:val="000000"/>
                <w:sz w:val="24"/>
                <w:rFonts w:ascii="Times New Roman" w:hAnsi="Times New Roman" w:cs="Times New Roman"/>
              </w:rPr>
              <w:t>Số: 09/BC-KT</w:t>
            </w:r>
          </w:p>
        </w:tc>
        <w:tc>
          <w:tcPr>
            <w:tcW w:type="dxa" w:w="5102"/>
            <w:tcMar>
              <w:top w:w="0" w:type="dxa"/>
              <w:left w:w="0" w:type="dxa"/>
              <w:bottom w:w="0" w:type="dxa"/>
              <w:right w:w="0" w:type="dxa"/>
            </w:tcMar>
          </w:tcPr>
          <w:p>
            <w:pPr>
              <w:spacing w:before="0" w:after="40" w:line="252" w:lineRule="auto"/>
              <w:jc w:val="center"/>
            </w:pPr>
            <w:r>
              <w:rPr>
                <w:rFonts w:ascii="Times New Roman" w:hAnsi="Times New Roman"/>
                <w:b/>
                <w:i w:val="0"/>
                <w:color w:val="000000"/>
                <w:sz w:val="24"/>
                <w:rFonts w:ascii="Times New Roman" w:hAnsi="Times New Roman" w:cs="Times New Roman"/>
              </w:rPr>
              <w:t>CỘNG HÒA XÃ HỘI CHỦ NGHĨA VIỆT NAM</w:t>
            </w:r>
          </w:p>
          <w:p>
            <w:pPr>
              <w:spacing w:before="0" w:after="80" w:line="252" w:lineRule="auto"/>
              <w:jc w:val="center"/>
            </w:pPr>
            <w:r>
              <w:rPr>
                <w:rFonts w:ascii="Times New Roman" w:hAnsi="Times New Roman"/>
                <w:b/>
                <w:i w:val="0"/>
                <w:color w:val="000000"/>
                <w:sz w:val="26"/>
                <w:rFonts w:ascii="Times New Roman" w:hAnsi="Times New Roman" w:cs="Times New Roman"/>
              </w:rPr>
              <w:t>Độc lập - Tự do - Hạnh phúc</w:t>
            </w:r>
          </w:p>
          <w:p>
            <w:pPr>
              <w:spacing w:before="0" w:after="120" w:line="240" w:lineRule="auto"/>
              <w:jc w:val="center"/>
            </w:pPr>
            <w:r>
              <w:rPr>
                <w:rFonts w:ascii="Times New Roman" w:hAnsi="Times New Roman"/>
                <w:b/>
                <w:i w:val="0"/>
                <w:color w:val="000000"/>
                <w:sz w:val="20"/>
                <w:rFonts w:ascii="Times New Roman" w:hAnsi="Times New Roman" w:cs="Times New Roman"/>
              </w:rPr>
              <w:t>────────────</w:t>
            </w:r>
          </w:p>
          <w:p>
            <w:pPr>
              <w:spacing w:before="0" w:after="0" w:line="276" w:lineRule="auto"/>
              <w:jc w:val="center"/>
            </w:pPr>
            <w:r>
              <w:rPr>
                <w:rFonts w:ascii="Times New Roman" w:hAnsi="Times New Roman"/>
                <w:b w:val="0"/>
                <w:i/>
                <w:color w:val="000000"/>
                <w:sz w:val="26"/>
                <w:rFonts w:ascii="Times New Roman" w:hAnsi="Times New Roman" w:cs="Times New Roman"/>
              </w:rPr>
              <w:t>Hà Nội, ngày 19 tháng 9 năm 2026</w:t>
            </w:r>
          </w:p>
        </w:tc>
      </w:tr>
    </w:tbl>
    <w:p>
      <w:pPr>
        <w:spacing w:before="320" w:after="60" w:line="276" w:lineRule="auto"/>
        <w:jc w:val="center"/>
      </w:pPr>
      <w:r>
        <w:rPr>
          <w:rFonts w:ascii="Times New Roman" w:hAnsi="Times New Roman"/>
          <w:b/>
          <w:i w:val="0"/>
          <w:color w:val="000000"/>
          <w:sz w:val="28"/>
          <w:rFonts w:ascii="Times New Roman" w:hAnsi="Times New Roman" w:cs="Times New Roman"/>
        </w:rPr>
        <w:t>BÁO CÁO</w:t>
      </w:r>
    </w:p>
    <w:p>
      <w:pPr>
        <w:spacing w:before="0" w:after="240" w:line="276" w:lineRule="auto"/>
        <w:jc w:val="center"/>
      </w:pPr>
      <w:r>
        <w:rPr>
          <w:rFonts w:ascii="Times New Roman" w:hAnsi="Times New Roman"/>
          <w:b/>
          <w:i w:val="0"/>
          <w:color w:val="000000"/>
          <w:sz w:val="26"/>
          <w:rFonts w:ascii="Times New Roman" w:hAnsi="Times New Roman" w:cs="Times New Roman"/>
        </w:rPr>
        <w:t>Về kết quả thực hiện kiểm kê, tổng hợp tình hình nhân sự</w:t>
        <w:br/>
        <w:t>và trang thiết bị tại Phòng Kỹ thuật</w:t>
      </w:r>
    </w:p>
    <w:p>
      <w:pPr>
        <w:spacing w:before="80" w:after="200" w:line="276" w:lineRule="auto"/>
        <w:jc w:val="center"/>
      </w:pPr>
      <w:r>
        <w:rPr>
          <w:rFonts w:ascii="Times New Roman" w:hAnsi="Times New Roman"/>
          <w:b/>
          <w:i w:val="0"/>
          <w:color w:val="000000"/>
          <w:sz w:val="26"/>
          <w:rFonts w:ascii="Times New Roman" w:hAnsi="Times New Roman" w:cs="Times New Roman"/>
        </w:rPr>
        <w:t xml:space="preserve">Kính gửi: </w:t>
      </w:r>
      <w:r>
        <w:rPr>
          <w:rFonts w:ascii="Times New Roman" w:hAnsi="Times New Roman"/>
          <w:b w:val="0"/>
          <w:i w:val="0"/>
          <w:color w:val="000000"/>
          <w:sz w:val="26"/>
          <w:rFonts w:ascii="Times New Roman" w:hAnsi="Times New Roman" w:cs="Times New Roman"/>
        </w:rPr>
        <w:t>Ban Tổng Giám đốc Công ty TNHH Tư vấn và Triển khai</w:t>
        <w:br/>
        <w:t>Giải pháp Công nghệ Bình Phúc</w:t>
      </w:r>
    </w:p>
    <w:p>
      <w:pPr>
        <w:spacing w:before="60" w:after="80" w:line="276" w:lineRule="auto"/>
        <w:ind w:firstLine="720"/>
        <w:jc w:val="both"/>
      </w:pPr>
      <w:r>
        <w:rPr>
          <w:rFonts w:ascii="Times New Roman" w:hAnsi="Times New Roman"/>
          <w:b w:val="0"/>
          <w:i w:val="0"/>
          <w:color w:val="000000"/>
          <w:sz w:val="26"/>
          <w:rFonts w:ascii="Times New Roman" w:hAnsi="Times New Roman" w:cs="Times New Roman"/>
        </w:rPr>
        <w:t>Căn cứ Công văn số 18/CV-BP ngày 18 tháng 9 năm 2026 của Tổng Giám đốc Công ty TNHH Tư vấn và Triển khai Giải pháp Công nghệ Bình Phúc về việc chỉ thị kiểm kê và tổng hợp thông tin về nhân sự và trang thiết bị;</w:t>
      </w:r>
    </w:p>
    <w:p>
      <w:pPr>
        <w:spacing w:before="60" w:after="80" w:line="276" w:lineRule="auto"/>
        <w:ind w:firstLine="720"/>
        <w:jc w:val="both"/>
      </w:pPr>
      <w:r>
        <w:rPr>
          <w:rFonts w:ascii="Times New Roman" w:hAnsi="Times New Roman"/>
          <w:b w:val="0"/>
          <w:i w:val="0"/>
          <w:color w:val="000000"/>
          <w:sz w:val="26"/>
          <w:rFonts w:ascii="Times New Roman" w:hAnsi="Times New Roman" w:cs="Times New Roman"/>
        </w:rPr>
        <w:t>Thực hiện chỉ đạo của Ban Tổng Giám đốc, trong ngày 18/9/2026 và 19/9/2026, Phòng Kỹ thuật đã khẩn trương tiến hành rà soát, kiểm kê thực tế toàn bộ lực lượng nhân sự và trang thiết bị kỹ thuật hiện có tại đơn vị. Phòng Kỹ thuật kính báo cáo Ban Tổng Giám đốc kết quả chi tiết như sau:</w:t>
      </w:r>
    </w:p>
    <w:p>
      <w:pPr>
        <w:spacing w:before="160" w:after="80" w:line="276" w:lineRule="auto"/>
        <w:jc w:val="left"/>
      </w:pPr>
      <w:r>
        <w:rPr>
          <w:rFonts w:ascii="Times New Roman" w:hAnsi="Times New Roman"/>
          <w:b/>
          <w:i w:val="0"/>
          <w:color w:val="000000"/>
          <w:sz w:val="26"/>
          <w:rFonts w:ascii="Times New Roman" w:hAnsi="Times New Roman" w:cs="Times New Roman"/>
        </w:rPr>
        <w:t>I. TÌNH HÌNH KIỂM KÊ VÀ TỔNG HỢP NHÂN SỰ</w:t>
      </w:r>
    </w:p>
    <w:p>
      <w:pPr>
        <w:spacing w:before="60" w:after="80" w:line="276" w:lineRule="auto"/>
        <w:ind w:firstLine="720"/>
        <w:jc w:val="both"/>
      </w:pPr>
      <w:r>
        <w:rPr>
          <w:rFonts w:ascii="Times New Roman" w:hAnsi="Times New Roman"/>
          <w:b w:val="0"/>
          <w:i w:val="0"/>
          <w:color w:val="000000"/>
          <w:sz w:val="26"/>
          <w:rFonts w:ascii="Times New Roman" w:hAnsi="Times New Roman" w:cs="Times New Roman"/>
        </w:rPr>
        <w:t>Tính đến thời điểm ngày 19 tháng 9 năm 2026, tổng số nhân sự hiện diện tại Phòng Kỹ thuật là 28 nhân sự, cụ thể phân loại như sau:</w:t>
      </w:r>
    </w:p>
    <w:p>
      <w:pPr>
        <w:spacing w:before="60" w:after="80" w:line="276" w:lineRule="auto"/>
        <w:ind w:firstLine="720"/>
        <w:jc w:val="both"/>
      </w:pPr>
      <w:r>
        <w:rPr>
          <w:rFonts w:ascii="Times New Roman" w:hAnsi="Times New Roman"/>
          <w:b/>
          <w:i w:val="0"/>
          <w:color w:val="000000"/>
          <w:sz w:val="26"/>
          <w:rFonts w:ascii="Times New Roman" w:hAnsi="Times New Roman" w:cs="Times New Roman"/>
        </w:rPr>
        <w:t xml:space="preserve">1. Về cơ cấu hợp đồng lao động: </w:t>
        <w:br/>
        <w:t xml:space="preserve">- Nhân sự chính thức: </w:t>
      </w:r>
      <w:r>
        <w:rPr>
          <w:rFonts w:ascii="Times New Roman" w:hAnsi="Times New Roman"/>
          <w:b w:val="0"/>
          <w:i w:val="0"/>
          <w:color w:val="000000"/>
          <w:sz w:val="26"/>
          <w:rFonts w:ascii="Times New Roman" w:hAnsi="Times New Roman" w:cs="Times New Roman"/>
        </w:rPr>
        <w:t>Số lượng: 24 nhân sự (chiếm 85,7%). Toàn bộ nhân sự đều có hợp đồng lao động không xác định thời hạn hoặc xác định thời hạn từ 12 tháng trở lên.</w:t>
      </w:r>
    </w:p>
    <w:p>
      <w:pPr>
        <w:spacing w:before="40" w:after="80" w:line="276" w:lineRule="auto"/>
        <w:ind w:left="720"/>
        <w:jc w:val="both"/>
      </w:pPr>
      <w:r>
        <w:rPr>
          <w:rFonts w:ascii="Times New Roman" w:hAnsi="Times New Roman"/>
          <w:b w:val="0"/>
          <w:i w:val="0"/>
          <w:color w:val="000000"/>
          <w:sz w:val="26"/>
          <w:rFonts w:ascii="Times New Roman" w:hAnsi="Times New Roman" w:cs="Times New Roman"/>
        </w:rPr>
        <w:t>- Nhân sự thử việc / tập sự: 03 nhân sự (dự kiến đánh giá tiếp nhận chính thức vào tháng 10/2026).</w:t>
        <w:br/>
        <w:t>- Nhân sự thời vụ / cộng tác viên kỹ thuật: 01 nhân sự (hỗ trợ dự án trọng điểm).</w:t>
      </w:r>
    </w:p>
    <w:p>
      <w:pPr>
        <w:spacing w:before="60" w:after="80" w:line="276" w:lineRule="auto"/>
        <w:ind w:firstLine="720"/>
        <w:jc w:val="both"/>
      </w:pPr>
      <w:r>
        <w:rPr>
          <w:rFonts w:ascii="Times New Roman" w:hAnsi="Times New Roman"/>
          <w:b/>
          <w:i w:val="0"/>
          <w:color w:val="000000"/>
          <w:sz w:val="26"/>
          <w:rFonts w:ascii="Times New Roman" w:hAnsi="Times New Roman" w:cs="Times New Roman"/>
        </w:rPr>
        <w:t xml:space="preserve">2. Về trình độ chuyên môn: </w:t>
      </w:r>
      <w:r>
        <w:rPr>
          <w:rFonts w:ascii="Times New Roman" w:hAnsi="Times New Roman"/>
          <w:b w:val="0"/>
          <w:i w:val="0"/>
          <w:color w:val="000000"/>
          <w:sz w:val="26"/>
          <w:rFonts w:ascii="Times New Roman" w:hAnsi="Times New Roman" w:cs="Times New Roman"/>
        </w:rPr>
        <w:t>100% nhân sự có trình độ Đại học và Sau đại học chuyên ngành Công nghệ thông tin, Điện tử viễn thông và Khoa học máy tính (trong đó có 04 Thạc sĩ kỹ thuật, 08 kỹ sư sở hữu các chứng chỉ quốc tế cấp cao như AWS Certified Solutions Architect, Cisco CCNP, CISSP, PMP).</w:t>
      </w:r>
    </w:p>
    <w:p>
      <w:pPr>
        <w:spacing w:before="60" w:after="80" w:line="276" w:lineRule="auto"/>
        <w:ind w:firstLine="720"/>
        <w:jc w:val="both"/>
      </w:pPr>
      <w:r>
        <w:rPr>
          <w:rFonts w:ascii="Times New Roman" w:hAnsi="Times New Roman"/>
          <w:b/>
          <w:i w:val="0"/>
          <w:color w:val="000000"/>
          <w:sz w:val="26"/>
          <w:rFonts w:ascii="Times New Roman" w:hAnsi="Times New Roman" w:cs="Times New Roman"/>
        </w:rPr>
        <w:t xml:space="preserve">3. Phân bổ vị trí công tác &amp; đánh giá mức độ đáp ứng: </w:t>
      </w:r>
      <w:r>
        <w:rPr>
          <w:rFonts w:ascii="Times New Roman" w:hAnsi="Times New Roman"/>
          <w:b w:val="0"/>
          <w:i w:val="0"/>
          <w:color w:val="000000"/>
          <w:sz w:val="26"/>
          <w:rFonts w:ascii="Times New Roman" w:hAnsi="Times New Roman" w:cs="Times New Roman"/>
        </w:rPr>
        <w:t>Đội ngũ nhân sự được bố trí khoa học thành 04 nhóm chuyên môn: Nhóm Hạ tầng &amp; Bảo mật hệ thống (07 nhân sự); Nhóm Phát triển giải pháp phần mềm (12 nhân sự); Nhóm Triển khai &amp; Tích hợp hệ thống (06 nhân sự); Ban Trưởng phòng và Điều phối kỹ thuật (03 nhân sự). Tất cả nhân sự đều đáp ứng tốt yêu cầu công việc và tiến độ các dự án đang triển khai.</w:t>
      </w:r>
    </w:p>
    <w:p>
      <w:pPr>
        <w:spacing w:before="160" w:after="80" w:line="276" w:lineRule="auto"/>
        <w:jc w:val="left"/>
      </w:pPr>
      <w:r>
        <w:rPr>
          <w:rFonts w:ascii="Times New Roman" w:hAnsi="Times New Roman"/>
          <w:b/>
          <w:i w:val="0"/>
          <w:color w:val="000000"/>
          <w:sz w:val="26"/>
          <w:rFonts w:ascii="Times New Roman" w:hAnsi="Times New Roman" w:cs="Times New Roman"/>
        </w:rPr>
        <w:t>II. KẾT QUẢ KIỂM KÊ VÀ THỐNG KÊ TRANG THIẾT BỊ</w:t>
      </w:r>
    </w:p>
    <w:p>
      <w:pPr>
        <w:spacing w:before="60" w:after="80" w:line="276" w:lineRule="auto"/>
        <w:ind w:firstLine="720"/>
        <w:jc w:val="both"/>
      </w:pPr>
      <w:r>
        <w:rPr>
          <w:rFonts w:ascii="Times New Roman" w:hAnsi="Times New Roman"/>
          <w:b w:val="0"/>
          <w:i w:val="0"/>
          <w:color w:val="000000"/>
          <w:sz w:val="26"/>
          <w:rFonts w:ascii="Times New Roman" w:hAnsi="Times New Roman" w:cs="Times New Roman"/>
        </w:rPr>
        <w:t>Phòng Kỹ thuật đã lập Hội đồng kiểm kê nội bộ và tiến hành đối soát 100% tài sản, trang thiết bị kỹ thuật được giao quản lý tại phòng và các phòng máy/lab kỹ thuật. Kết quả tổng hợp như sau:</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1336"/>
        <w:gridCol w:w="1336"/>
        <w:gridCol w:w="1336"/>
        <w:gridCol w:w="1336"/>
        <w:gridCol w:w="1336"/>
        <w:gridCol w:w="1336"/>
        <w:gridCol w:w="1336"/>
      </w:tblGrid>
      <w:tr>
        <w:tc>
          <w:tcPr>
            <w:tcW w:type="dxa" w:w="680"/>
            <w:tcMar>
              <w:top w:w="80" w:type="dxa"/>
              <w:left w:w="80" w:type="dxa"/>
              <w:bottom w:w="80" w:type="dxa"/>
              <w:right w:w="80" w:type="dxa"/>
            </w:tcMar>
            <w:shd w:fill="EAEAEA"/>
          </w:tcPr>
          <w:p>
            <w:pPr>
              <w:spacing w:before="40" w:after="40" w:line="252" w:lineRule="auto"/>
              <w:jc w:val="center"/>
            </w:pPr>
            <w:r>
              <w:rPr>
                <w:rFonts w:ascii="Times New Roman" w:hAnsi="Times New Roman"/>
                <w:b/>
                <w:i w:val="0"/>
                <w:color w:val="000000"/>
                <w:sz w:val="20"/>
                <w:rFonts w:ascii="Times New Roman" w:hAnsi="Times New Roman" w:cs="Times New Roman"/>
              </w:rPr>
              <w:t>STT</w:t>
            </w:r>
          </w:p>
        </w:tc>
        <w:tc>
          <w:tcPr>
            <w:tcW w:type="dxa" w:w="3118"/>
            <w:tcMar>
              <w:top w:w="80" w:type="dxa"/>
              <w:left w:w="80" w:type="dxa"/>
              <w:bottom w:w="80" w:type="dxa"/>
              <w:right w:w="80" w:type="dxa"/>
            </w:tcMar>
            <w:shd w:fill="EAEAEA"/>
          </w:tcPr>
          <w:p>
            <w:pPr>
              <w:spacing w:before="40" w:after="40" w:line="252" w:lineRule="auto"/>
              <w:jc w:val="left"/>
            </w:pPr>
            <w:r>
              <w:rPr>
                <w:rFonts w:ascii="Times New Roman" w:hAnsi="Times New Roman"/>
                <w:b/>
                <w:i w:val="0"/>
                <w:color w:val="000000"/>
                <w:sz w:val="20"/>
                <w:rFonts w:ascii="Times New Roman" w:hAnsi="Times New Roman" w:cs="Times New Roman"/>
              </w:rPr>
              <w:t>Danh mục trang thiết bị</w:t>
            </w:r>
          </w:p>
        </w:tc>
        <w:tc>
          <w:tcPr>
            <w:tcW w:type="dxa" w:w="737"/>
            <w:tcMar>
              <w:top w:w="80" w:type="dxa"/>
              <w:left w:w="80" w:type="dxa"/>
              <w:bottom w:w="80" w:type="dxa"/>
              <w:right w:w="80" w:type="dxa"/>
            </w:tcMar>
            <w:shd w:fill="EAEAEA"/>
          </w:tcPr>
          <w:p>
            <w:pPr>
              <w:spacing w:before="40" w:after="40" w:line="252" w:lineRule="auto"/>
              <w:jc w:val="center"/>
            </w:pPr>
            <w:r>
              <w:rPr>
                <w:rFonts w:ascii="Times New Roman" w:hAnsi="Times New Roman"/>
                <w:b/>
                <w:i w:val="0"/>
                <w:color w:val="000000"/>
                <w:sz w:val="20"/>
                <w:rFonts w:ascii="Times New Roman" w:hAnsi="Times New Roman" w:cs="Times New Roman"/>
              </w:rPr>
              <w:t>ĐVT</w:t>
            </w:r>
          </w:p>
        </w:tc>
        <w:tc>
          <w:tcPr>
            <w:tcW w:type="dxa" w:w="1020"/>
            <w:tcMar>
              <w:top w:w="80" w:type="dxa"/>
              <w:left w:w="80" w:type="dxa"/>
              <w:bottom w:w="80" w:type="dxa"/>
              <w:right w:w="80" w:type="dxa"/>
            </w:tcMar>
            <w:shd w:fill="EAEAEA"/>
          </w:tcPr>
          <w:p>
            <w:pPr>
              <w:spacing w:before="40" w:after="40" w:line="252" w:lineRule="auto"/>
              <w:jc w:val="center"/>
            </w:pPr>
            <w:r>
              <w:rPr>
                <w:rFonts w:ascii="Times New Roman" w:hAnsi="Times New Roman"/>
                <w:b/>
                <w:i w:val="0"/>
                <w:color w:val="000000"/>
                <w:sz w:val="20"/>
                <w:rFonts w:ascii="Times New Roman" w:hAnsi="Times New Roman" w:cs="Times New Roman"/>
              </w:rPr>
              <w:t>Tổng SL</w:t>
            </w:r>
          </w:p>
        </w:tc>
        <w:tc>
          <w:tcPr>
            <w:tcW w:type="dxa" w:w="1247"/>
            <w:tcMar>
              <w:top w:w="80" w:type="dxa"/>
              <w:left w:w="80" w:type="dxa"/>
              <w:bottom w:w="80" w:type="dxa"/>
              <w:right w:w="80" w:type="dxa"/>
            </w:tcMar>
            <w:shd w:fill="EAEAEA"/>
          </w:tcPr>
          <w:p>
            <w:pPr>
              <w:spacing w:before="40" w:after="40" w:line="252" w:lineRule="auto"/>
              <w:jc w:val="center"/>
            </w:pPr>
            <w:r>
              <w:rPr>
                <w:rFonts w:ascii="Times New Roman" w:hAnsi="Times New Roman"/>
                <w:b/>
                <w:i w:val="0"/>
                <w:color w:val="000000"/>
                <w:sz w:val="20"/>
                <w:rFonts w:ascii="Times New Roman" w:hAnsi="Times New Roman" w:cs="Times New Roman"/>
              </w:rPr>
              <w:t>Hoạt động tốt</w:t>
            </w:r>
          </w:p>
        </w:tc>
        <w:tc>
          <w:tcPr>
            <w:tcW w:type="dxa" w:w="1417"/>
            <w:tcMar>
              <w:top w:w="80" w:type="dxa"/>
              <w:left w:w="80" w:type="dxa"/>
              <w:bottom w:w="80" w:type="dxa"/>
              <w:right w:w="80" w:type="dxa"/>
            </w:tcMar>
            <w:shd w:fill="EAEAEA"/>
          </w:tcPr>
          <w:p>
            <w:pPr>
              <w:spacing w:before="40" w:after="40" w:line="252" w:lineRule="auto"/>
              <w:jc w:val="center"/>
            </w:pPr>
            <w:r>
              <w:rPr>
                <w:rFonts w:ascii="Times New Roman" w:hAnsi="Times New Roman"/>
                <w:b/>
                <w:i w:val="0"/>
                <w:color w:val="000000"/>
                <w:sz w:val="20"/>
                <w:rFonts w:ascii="Times New Roman" w:hAnsi="Times New Roman" w:cs="Times New Roman"/>
              </w:rPr>
              <w:t>Cần bảo dưỡng / sửa chữa</w:t>
            </w:r>
          </w:p>
        </w:tc>
        <w:tc>
          <w:tcPr>
            <w:tcW w:type="dxa" w:w="1134"/>
            <w:tcMar>
              <w:top w:w="80" w:type="dxa"/>
              <w:left w:w="80" w:type="dxa"/>
              <w:bottom w:w="80" w:type="dxa"/>
              <w:right w:w="80" w:type="dxa"/>
            </w:tcMar>
            <w:shd w:fill="EAEAEA"/>
          </w:tcPr>
          <w:p>
            <w:pPr>
              <w:spacing w:before="40" w:after="40" w:line="252" w:lineRule="auto"/>
              <w:jc w:val="center"/>
            </w:pPr>
            <w:r>
              <w:rPr>
                <w:rFonts w:ascii="Times New Roman" w:hAnsi="Times New Roman"/>
                <w:b/>
                <w:i w:val="0"/>
                <w:color w:val="000000"/>
                <w:sz w:val="20"/>
                <w:rFonts w:ascii="Times New Roman" w:hAnsi="Times New Roman" w:cs="Times New Roman"/>
              </w:rPr>
              <w:t>Đề xuất thanh lý</w:t>
            </w:r>
          </w:p>
        </w:tc>
      </w:tr>
      <w:tr>
        <w:tc>
          <w:tcPr>
            <w:tcW w:type="dxa" w:w="68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1</w:t>
            </w:r>
          </w:p>
        </w:tc>
        <w:tc>
          <w:tcPr>
            <w:tcW w:type="dxa" w:w="3118"/>
            <w:tcMar>
              <w:top w:w="80" w:type="dxa"/>
              <w:left w:w="80" w:type="dxa"/>
              <w:bottom w:w="80" w:type="dxa"/>
              <w:right w:w="80" w:type="dxa"/>
            </w:tcMar>
          </w:tcPr>
          <w:p>
            <w:pPr>
              <w:spacing w:before="40" w:after="40" w:line="252" w:lineRule="auto"/>
              <w:jc w:val="left"/>
            </w:pPr>
            <w:r>
              <w:rPr>
                <w:rFonts w:ascii="Times New Roman" w:hAnsi="Times New Roman"/>
                <w:b w:val="0"/>
                <w:i w:val="0"/>
                <w:color w:val="000000"/>
                <w:sz w:val="21"/>
                <w:rFonts w:ascii="Times New Roman" w:hAnsi="Times New Roman" w:cs="Times New Roman"/>
              </w:rPr>
              <w:t>Máy tính để bàn Workstation cấu hình cao</w:t>
            </w:r>
          </w:p>
        </w:tc>
        <w:tc>
          <w:tcPr>
            <w:tcW w:type="dxa" w:w="73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Bộ</w:t>
            </w:r>
          </w:p>
        </w:tc>
        <w:tc>
          <w:tcPr>
            <w:tcW w:type="dxa" w:w="102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18</w:t>
            </w:r>
          </w:p>
        </w:tc>
        <w:tc>
          <w:tcPr>
            <w:tcW w:type="dxa" w:w="124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16</w:t>
            </w:r>
          </w:p>
        </w:tc>
        <w:tc>
          <w:tcPr>
            <w:tcW w:type="dxa" w:w="141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02</w:t>
            </w:r>
          </w:p>
        </w:tc>
        <w:tc>
          <w:tcPr>
            <w:tcW w:type="dxa" w:w="1134"/>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00</w:t>
            </w:r>
          </w:p>
        </w:tc>
      </w:tr>
      <w:tr>
        <w:tc>
          <w:tcPr>
            <w:tcW w:type="dxa" w:w="68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2</w:t>
            </w:r>
          </w:p>
        </w:tc>
        <w:tc>
          <w:tcPr>
            <w:tcW w:type="dxa" w:w="3118"/>
            <w:tcMar>
              <w:top w:w="80" w:type="dxa"/>
              <w:left w:w="80" w:type="dxa"/>
              <w:bottom w:w="80" w:type="dxa"/>
              <w:right w:w="80" w:type="dxa"/>
            </w:tcMar>
          </w:tcPr>
          <w:p>
            <w:pPr>
              <w:spacing w:before="40" w:after="40" w:line="252" w:lineRule="auto"/>
              <w:jc w:val="left"/>
            </w:pPr>
            <w:r>
              <w:rPr>
                <w:rFonts w:ascii="Times New Roman" w:hAnsi="Times New Roman"/>
                <w:b w:val="0"/>
                <w:i w:val="0"/>
                <w:color w:val="000000"/>
                <w:sz w:val="21"/>
                <w:rFonts w:ascii="Times New Roman" w:hAnsi="Times New Roman" w:cs="Times New Roman"/>
              </w:rPr>
              <w:t>Máy tính xách tay (Laptop dự án)</w:t>
            </w:r>
          </w:p>
        </w:tc>
        <w:tc>
          <w:tcPr>
            <w:tcW w:type="dxa" w:w="73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Chiếc</w:t>
            </w:r>
          </w:p>
        </w:tc>
        <w:tc>
          <w:tcPr>
            <w:tcW w:type="dxa" w:w="102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15</w:t>
            </w:r>
          </w:p>
        </w:tc>
        <w:tc>
          <w:tcPr>
            <w:tcW w:type="dxa" w:w="124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14</w:t>
            </w:r>
          </w:p>
        </w:tc>
        <w:tc>
          <w:tcPr>
            <w:tcW w:type="dxa" w:w="141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01</w:t>
            </w:r>
          </w:p>
        </w:tc>
        <w:tc>
          <w:tcPr>
            <w:tcW w:type="dxa" w:w="1134"/>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00</w:t>
            </w:r>
          </w:p>
        </w:tc>
      </w:tr>
      <w:tr>
        <w:tc>
          <w:tcPr>
            <w:tcW w:type="dxa" w:w="68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3</w:t>
            </w:r>
          </w:p>
        </w:tc>
        <w:tc>
          <w:tcPr>
            <w:tcW w:type="dxa" w:w="3118"/>
            <w:tcMar>
              <w:top w:w="80" w:type="dxa"/>
              <w:left w:w="80" w:type="dxa"/>
              <w:bottom w:w="80" w:type="dxa"/>
              <w:right w:w="80" w:type="dxa"/>
            </w:tcMar>
          </w:tcPr>
          <w:p>
            <w:pPr>
              <w:spacing w:before="40" w:after="40" w:line="252" w:lineRule="auto"/>
              <w:jc w:val="left"/>
            </w:pPr>
            <w:r>
              <w:rPr>
                <w:rFonts w:ascii="Times New Roman" w:hAnsi="Times New Roman"/>
                <w:b w:val="0"/>
                <w:i w:val="0"/>
                <w:color w:val="000000"/>
                <w:sz w:val="21"/>
                <w:rFonts w:ascii="Times New Roman" w:hAnsi="Times New Roman" w:cs="Times New Roman"/>
              </w:rPr>
              <w:t>Hệ thống máy chủ nội bộ (Server Rack)</w:t>
            </w:r>
          </w:p>
        </w:tc>
        <w:tc>
          <w:tcPr>
            <w:tcW w:type="dxa" w:w="73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Hệ</w:t>
            </w:r>
          </w:p>
        </w:tc>
        <w:tc>
          <w:tcPr>
            <w:tcW w:type="dxa" w:w="102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03</w:t>
            </w:r>
          </w:p>
        </w:tc>
        <w:tc>
          <w:tcPr>
            <w:tcW w:type="dxa" w:w="124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03</w:t>
            </w:r>
          </w:p>
        </w:tc>
        <w:tc>
          <w:tcPr>
            <w:tcW w:type="dxa" w:w="141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00</w:t>
            </w:r>
          </w:p>
        </w:tc>
        <w:tc>
          <w:tcPr>
            <w:tcW w:type="dxa" w:w="1134"/>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00</w:t>
            </w:r>
          </w:p>
        </w:tc>
      </w:tr>
      <w:tr>
        <w:tc>
          <w:tcPr>
            <w:tcW w:type="dxa" w:w="68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4</w:t>
            </w:r>
          </w:p>
        </w:tc>
        <w:tc>
          <w:tcPr>
            <w:tcW w:type="dxa" w:w="3118"/>
            <w:tcMar>
              <w:top w:w="80" w:type="dxa"/>
              <w:left w:w="80" w:type="dxa"/>
              <w:bottom w:w="80" w:type="dxa"/>
              <w:right w:w="80" w:type="dxa"/>
            </w:tcMar>
          </w:tcPr>
          <w:p>
            <w:pPr>
              <w:spacing w:before="40" w:after="40" w:line="252" w:lineRule="auto"/>
              <w:jc w:val="left"/>
            </w:pPr>
            <w:r>
              <w:rPr>
                <w:rFonts w:ascii="Times New Roman" w:hAnsi="Times New Roman"/>
                <w:b w:val="0"/>
                <w:i w:val="0"/>
                <w:color w:val="000000"/>
                <w:sz w:val="21"/>
                <w:rFonts w:ascii="Times New Roman" w:hAnsi="Times New Roman" w:cs="Times New Roman"/>
              </w:rPr>
              <w:t>Thiết bị mạng (Router, Core Switch, Firewall)</w:t>
            </w:r>
          </w:p>
        </w:tc>
        <w:tc>
          <w:tcPr>
            <w:tcW w:type="dxa" w:w="73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Thiết bị</w:t>
            </w:r>
          </w:p>
        </w:tc>
        <w:tc>
          <w:tcPr>
            <w:tcW w:type="dxa" w:w="102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12</w:t>
            </w:r>
          </w:p>
        </w:tc>
        <w:tc>
          <w:tcPr>
            <w:tcW w:type="dxa" w:w="124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11</w:t>
            </w:r>
          </w:p>
        </w:tc>
        <w:tc>
          <w:tcPr>
            <w:tcW w:type="dxa" w:w="141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01</w:t>
            </w:r>
          </w:p>
        </w:tc>
        <w:tc>
          <w:tcPr>
            <w:tcW w:type="dxa" w:w="1134"/>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00</w:t>
            </w:r>
          </w:p>
        </w:tc>
      </w:tr>
      <w:tr>
        <w:tc>
          <w:tcPr>
            <w:tcW w:type="dxa" w:w="68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5</w:t>
            </w:r>
          </w:p>
        </w:tc>
        <w:tc>
          <w:tcPr>
            <w:tcW w:type="dxa" w:w="3118"/>
            <w:tcMar>
              <w:top w:w="80" w:type="dxa"/>
              <w:left w:w="80" w:type="dxa"/>
              <w:bottom w:w="80" w:type="dxa"/>
              <w:right w:w="80" w:type="dxa"/>
            </w:tcMar>
          </w:tcPr>
          <w:p>
            <w:pPr>
              <w:spacing w:before="40" w:after="40" w:line="252" w:lineRule="auto"/>
              <w:jc w:val="left"/>
            </w:pPr>
            <w:r>
              <w:rPr>
                <w:rFonts w:ascii="Times New Roman" w:hAnsi="Times New Roman"/>
                <w:b w:val="0"/>
                <w:i w:val="0"/>
                <w:color w:val="000000"/>
                <w:sz w:val="21"/>
                <w:rFonts w:ascii="Times New Roman" w:hAnsi="Times New Roman" w:cs="Times New Roman"/>
              </w:rPr>
              <w:t>Bộ lưu điện công suất lớn (UPS Online)</w:t>
            </w:r>
          </w:p>
        </w:tc>
        <w:tc>
          <w:tcPr>
            <w:tcW w:type="dxa" w:w="73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Chiếc</w:t>
            </w:r>
          </w:p>
        </w:tc>
        <w:tc>
          <w:tcPr>
            <w:tcW w:type="dxa" w:w="102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04</w:t>
            </w:r>
          </w:p>
        </w:tc>
        <w:tc>
          <w:tcPr>
            <w:tcW w:type="dxa" w:w="124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03</w:t>
            </w:r>
          </w:p>
        </w:tc>
        <w:tc>
          <w:tcPr>
            <w:tcW w:type="dxa" w:w="141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01</w:t>
            </w:r>
          </w:p>
        </w:tc>
        <w:tc>
          <w:tcPr>
            <w:tcW w:type="dxa" w:w="1134"/>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00</w:t>
            </w:r>
          </w:p>
        </w:tc>
      </w:tr>
      <w:tr>
        <w:tc>
          <w:tcPr>
            <w:tcW w:type="dxa" w:w="68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6</w:t>
            </w:r>
          </w:p>
        </w:tc>
        <w:tc>
          <w:tcPr>
            <w:tcW w:type="dxa" w:w="3118"/>
            <w:tcMar>
              <w:top w:w="80" w:type="dxa"/>
              <w:left w:w="80" w:type="dxa"/>
              <w:bottom w:w="80" w:type="dxa"/>
              <w:right w:w="80" w:type="dxa"/>
            </w:tcMar>
          </w:tcPr>
          <w:p>
            <w:pPr>
              <w:spacing w:before="40" w:after="40" w:line="252" w:lineRule="auto"/>
              <w:jc w:val="left"/>
            </w:pPr>
            <w:r>
              <w:rPr>
                <w:rFonts w:ascii="Times New Roman" w:hAnsi="Times New Roman"/>
                <w:b w:val="0"/>
                <w:i w:val="0"/>
                <w:color w:val="000000"/>
                <w:sz w:val="21"/>
                <w:rFonts w:ascii="Times New Roman" w:hAnsi="Times New Roman" w:cs="Times New Roman"/>
              </w:rPr>
              <w:t>Thiết bị đo kiểm, phân tích mạng chuyên dụng</w:t>
            </w:r>
          </w:p>
        </w:tc>
        <w:tc>
          <w:tcPr>
            <w:tcW w:type="dxa" w:w="73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Bộ</w:t>
            </w:r>
          </w:p>
        </w:tc>
        <w:tc>
          <w:tcPr>
            <w:tcW w:type="dxa" w:w="102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05</w:t>
            </w:r>
          </w:p>
        </w:tc>
        <w:tc>
          <w:tcPr>
            <w:tcW w:type="dxa" w:w="124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05</w:t>
            </w:r>
          </w:p>
        </w:tc>
        <w:tc>
          <w:tcPr>
            <w:tcW w:type="dxa" w:w="141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00</w:t>
            </w:r>
          </w:p>
        </w:tc>
        <w:tc>
          <w:tcPr>
            <w:tcW w:type="dxa" w:w="1134"/>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00</w:t>
            </w:r>
          </w:p>
        </w:tc>
      </w:tr>
      <w:tr>
        <w:tc>
          <w:tcPr>
            <w:tcW w:type="dxa" w:w="68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7</w:t>
            </w:r>
          </w:p>
        </w:tc>
        <w:tc>
          <w:tcPr>
            <w:tcW w:type="dxa" w:w="3118"/>
            <w:tcMar>
              <w:top w:w="80" w:type="dxa"/>
              <w:left w:w="80" w:type="dxa"/>
              <w:bottom w:w="80" w:type="dxa"/>
              <w:right w:w="80" w:type="dxa"/>
            </w:tcMar>
          </w:tcPr>
          <w:p>
            <w:pPr>
              <w:spacing w:before="40" w:after="40" w:line="252" w:lineRule="auto"/>
              <w:jc w:val="left"/>
            </w:pPr>
            <w:r>
              <w:rPr>
                <w:rFonts w:ascii="Times New Roman" w:hAnsi="Times New Roman"/>
                <w:b w:val="0"/>
                <w:i w:val="0"/>
                <w:color w:val="000000"/>
                <w:sz w:val="21"/>
                <w:rFonts w:ascii="Times New Roman" w:hAnsi="Times New Roman" w:cs="Times New Roman"/>
              </w:rPr>
              <w:t>Màn hình mở rộng chuyên dụng (27 inch 4K)</w:t>
            </w:r>
          </w:p>
        </w:tc>
        <w:tc>
          <w:tcPr>
            <w:tcW w:type="dxa" w:w="73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Chiếc</w:t>
            </w:r>
          </w:p>
        </w:tc>
        <w:tc>
          <w:tcPr>
            <w:tcW w:type="dxa" w:w="1020"/>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22</w:t>
            </w:r>
          </w:p>
        </w:tc>
        <w:tc>
          <w:tcPr>
            <w:tcW w:type="dxa" w:w="124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20</w:t>
            </w:r>
          </w:p>
        </w:tc>
        <w:tc>
          <w:tcPr>
            <w:tcW w:type="dxa" w:w="1417"/>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02</w:t>
            </w:r>
          </w:p>
        </w:tc>
        <w:tc>
          <w:tcPr>
            <w:tcW w:type="dxa" w:w="1134"/>
            <w:tcMar>
              <w:top w:w="80" w:type="dxa"/>
              <w:left w:w="80" w:type="dxa"/>
              <w:bottom w:w="80" w:type="dxa"/>
              <w:right w:w="80" w:type="dxa"/>
            </w:tcMar>
          </w:tcPr>
          <w:p>
            <w:pPr>
              <w:spacing w:before="40" w:after="40" w:line="252" w:lineRule="auto"/>
              <w:jc w:val="center"/>
            </w:pPr>
            <w:r>
              <w:rPr>
                <w:rFonts w:ascii="Times New Roman" w:hAnsi="Times New Roman"/>
                <w:b w:val="0"/>
                <w:i w:val="0"/>
                <w:color w:val="000000"/>
                <w:sz w:val="21"/>
                <w:rFonts w:ascii="Times New Roman" w:hAnsi="Times New Roman" w:cs="Times New Roman"/>
              </w:rPr>
              <w:t>00</w:t>
            </w:r>
          </w:p>
        </w:tc>
      </w:tr>
      <w:tr>
        <w:tc>
          <w:tcPr>
            <w:tcW w:type="dxa" w:w="680"/>
            <w:tcMar>
              <w:top w:w="80" w:type="dxa"/>
              <w:left w:w="80" w:type="dxa"/>
              <w:bottom w:w="80" w:type="dxa"/>
              <w:right w:w="80" w:type="dxa"/>
            </w:tcMar>
          </w:tcPr>
          <w:p>
            <w:pPr>
              <w:spacing w:before="40" w:after="40" w:line="252" w:lineRule="auto"/>
              <w:jc w:val="center"/>
            </w:pPr>
            <w:r>
              <w:rPr>
                <w:rFonts w:ascii="Times New Roman" w:hAnsi="Times New Roman"/>
                <w:b/>
                <w:i w:val="0"/>
                <w:color w:val="000000"/>
                <w:sz w:val="21"/>
                <w:rFonts w:ascii="Times New Roman" w:hAnsi="Times New Roman" w:cs="Times New Roman"/>
              </w:rPr>
            </w:r>
          </w:p>
        </w:tc>
        <w:tc>
          <w:tcPr>
            <w:tcW w:type="dxa" w:w="3118"/>
            <w:tcMar>
              <w:top w:w="80" w:type="dxa"/>
              <w:left w:w="80" w:type="dxa"/>
              <w:bottom w:w="80" w:type="dxa"/>
              <w:right w:w="80" w:type="dxa"/>
            </w:tcMar>
          </w:tcPr>
          <w:p>
            <w:pPr>
              <w:spacing w:before="40" w:after="40" w:line="252" w:lineRule="auto"/>
              <w:jc w:val="left"/>
            </w:pPr>
            <w:r>
              <w:rPr>
                <w:rFonts w:ascii="Times New Roman" w:hAnsi="Times New Roman"/>
                <w:b/>
                <w:i w:val="0"/>
                <w:color w:val="000000"/>
                <w:sz w:val="21"/>
                <w:rFonts w:ascii="Times New Roman" w:hAnsi="Times New Roman" w:cs="Times New Roman"/>
              </w:rPr>
              <w:t>Tổng cộng</w:t>
            </w:r>
          </w:p>
        </w:tc>
        <w:tc>
          <w:tcPr>
            <w:tcW w:type="dxa" w:w="737"/>
            <w:tcMar>
              <w:top w:w="80" w:type="dxa"/>
              <w:left w:w="80" w:type="dxa"/>
              <w:bottom w:w="80" w:type="dxa"/>
              <w:right w:w="80" w:type="dxa"/>
            </w:tcMar>
          </w:tcPr>
          <w:p>
            <w:pPr>
              <w:spacing w:before="40" w:after="40" w:line="252" w:lineRule="auto"/>
              <w:jc w:val="center"/>
            </w:pPr>
            <w:r>
              <w:rPr>
                <w:rFonts w:ascii="Times New Roman" w:hAnsi="Times New Roman"/>
                <w:b/>
                <w:i w:val="0"/>
                <w:color w:val="000000"/>
                <w:sz w:val="21"/>
                <w:rFonts w:ascii="Times New Roman" w:hAnsi="Times New Roman" w:cs="Times New Roman"/>
              </w:rPr>
            </w:r>
          </w:p>
        </w:tc>
        <w:tc>
          <w:tcPr>
            <w:tcW w:type="dxa" w:w="1020"/>
            <w:tcMar>
              <w:top w:w="80" w:type="dxa"/>
              <w:left w:w="80" w:type="dxa"/>
              <w:bottom w:w="80" w:type="dxa"/>
              <w:right w:w="80" w:type="dxa"/>
            </w:tcMar>
          </w:tcPr>
          <w:p>
            <w:pPr>
              <w:spacing w:before="40" w:after="40" w:line="252" w:lineRule="auto"/>
              <w:jc w:val="center"/>
            </w:pPr>
            <w:r>
              <w:rPr>
                <w:rFonts w:ascii="Times New Roman" w:hAnsi="Times New Roman"/>
                <w:b/>
                <w:i w:val="0"/>
                <w:color w:val="000000"/>
                <w:sz w:val="21"/>
                <w:rFonts w:ascii="Times New Roman" w:hAnsi="Times New Roman" w:cs="Times New Roman"/>
              </w:rPr>
              <w:t>79</w:t>
            </w:r>
          </w:p>
        </w:tc>
        <w:tc>
          <w:tcPr>
            <w:tcW w:type="dxa" w:w="1247"/>
            <w:tcMar>
              <w:top w:w="80" w:type="dxa"/>
              <w:left w:w="80" w:type="dxa"/>
              <w:bottom w:w="80" w:type="dxa"/>
              <w:right w:w="80" w:type="dxa"/>
            </w:tcMar>
          </w:tcPr>
          <w:p>
            <w:pPr>
              <w:spacing w:before="40" w:after="40" w:line="252" w:lineRule="auto"/>
              <w:jc w:val="center"/>
            </w:pPr>
            <w:r>
              <w:rPr>
                <w:rFonts w:ascii="Times New Roman" w:hAnsi="Times New Roman"/>
                <w:b/>
                <w:i w:val="0"/>
                <w:color w:val="000000"/>
                <w:sz w:val="21"/>
                <w:rFonts w:ascii="Times New Roman" w:hAnsi="Times New Roman" w:cs="Times New Roman"/>
              </w:rPr>
              <w:t>72</w:t>
            </w:r>
          </w:p>
        </w:tc>
        <w:tc>
          <w:tcPr>
            <w:tcW w:type="dxa" w:w="1417"/>
            <w:tcMar>
              <w:top w:w="80" w:type="dxa"/>
              <w:left w:w="80" w:type="dxa"/>
              <w:bottom w:w="80" w:type="dxa"/>
              <w:right w:w="80" w:type="dxa"/>
            </w:tcMar>
          </w:tcPr>
          <w:p>
            <w:pPr>
              <w:spacing w:before="40" w:after="40" w:line="252" w:lineRule="auto"/>
              <w:jc w:val="center"/>
            </w:pPr>
            <w:r>
              <w:rPr>
                <w:rFonts w:ascii="Times New Roman" w:hAnsi="Times New Roman"/>
                <w:b/>
                <w:i w:val="0"/>
                <w:color w:val="000000"/>
                <w:sz w:val="21"/>
                <w:rFonts w:ascii="Times New Roman" w:hAnsi="Times New Roman" w:cs="Times New Roman"/>
              </w:rPr>
              <w:t>07</w:t>
            </w:r>
          </w:p>
        </w:tc>
        <w:tc>
          <w:tcPr>
            <w:tcW w:type="dxa" w:w="1134"/>
            <w:tcMar>
              <w:top w:w="80" w:type="dxa"/>
              <w:left w:w="80" w:type="dxa"/>
              <w:bottom w:w="80" w:type="dxa"/>
              <w:right w:w="80" w:type="dxa"/>
            </w:tcMar>
          </w:tcPr>
          <w:p>
            <w:pPr>
              <w:spacing w:before="40" w:after="40" w:line="252" w:lineRule="auto"/>
              <w:jc w:val="center"/>
            </w:pPr>
            <w:r>
              <w:rPr>
                <w:rFonts w:ascii="Times New Roman" w:hAnsi="Times New Roman"/>
                <w:b/>
                <w:i w:val="0"/>
                <w:color w:val="000000"/>
                <w:sz w:val="21"/>
                <w:rFonts w:ascii="Times New Roman" w:hAnsi="Times New Roman" w:cs="Times New Roman"/>
              </w:rPr>
              <w:t>00</w:t>
            </w:r>
          </w:p>
        </w:tc>
      </w:tr>
    </w:tbl>
    <w:p>
      <w:pPr>
        <w:spacing w:before="60" w:after="80" w:line="276" w:lineRule="auto"/>
        <w:ind w:firstLine="720"/>
        <w:jc w:val="both"/>
      </w:pPr>
      <w:r>
        <w:rPr>
          <w:rFonts w:ascii="Times New Roman" w:hAnsi="Times New Roman"/>
          <w:b w:val="0"/>
          <w:i w:val="0"/>
          <w:color w:val="000000"/>
          <w:sz w:val="26"/>
          <w:rFonts w:ascii="Times New Roman" w:hAnsi="Times New Roman" w:cs="Times New Roman"/>
        </w:rPr>
        <w:t>Tổng số lượng trang thiết bị kỹ thuật đang được giao quyền quản lý là 79 đơn vị thiết bị. Trong đó: 72 thiết bị (chiếm 91,1%) hoạt động ổn định và có hiệu suất vận hành tốt; 07 thiết bị (chiếm 8,9%) cần thực hiện bảo dưỡng định kỳ hoặc thay thế linh kiện hao mòn (như thay pin UPS, nâng cấp RAM cho 02 máy Workstation phục vụ dựng mô hình đồ họa, vệ sinh quạt tản nhiệt switch trung tâm); không có thiết bị thất thoát, hư hỏng nặng phải đề xuất thanh lý.</w:t>
      </w:r>
    </w:p>
    <w:p>
      <w:pPr>
        <w:spacing w:before="160" w:after="80" w:line="276" w:lineRule="auto"/>
        <w:jc w:val="left"/>
      </w:pPr>
      <w:r>
        <w:rPr>
          <w:rFonts w:ascii="Times New Roman" w:hAnsi="Times New Roman"/>
          <w:b/>
          <w:i w:val="0"/>
          <w:color w:val="000000"/>
          <w:sz w:val="26"/>
          <w:rFonts w:ascii="Times New Roman" w:hAnsi="Times New Roman" w:cs="Times New Roman"/>
        </w:rPr>
        <w:t>III. KIẾN NGHỊ VÀ ĐỀ XUẤT</w:t>
      </w:r>
    </w:p>
    <w:p>
      <w:pPr>
        <w:spacing w:before="60" w:after="80" w:line="276" w:lineRule="auto"/>
        <w:ind w:firstLine="720"/>
        <w:jc w:val="both"/>
      </w:pPr>
      <w:r>
        <w:rPr>
          <w:rFonts w:ascii="Times New Roman" w:hAnsi="Times New Roman"/>
          <w:b w:val="0"/>
          <w:i w:val="0"/>
          <w:color w:val="000000"/>
          <w:sz w:val="26"/>
          <w:rFonts w:ascii="Times New Roman" w:hAnsi="Times New Roman" w:cs="Times New Roman"/>
        </w:rPr>
        <w:t>1. Đề nghị Ban Tổng Giám đốc và Phòng Kế toán phê duyệt kinh phí bảo dưỡng định kỳ và mua sắm linh kiện thay thế cho 07 thiết bị kỹ thuật nêu trên nhằm đảm bảo hoạt động liên tục, tránh gián đoạn các dịch vụ triển khai cho đối tác.</w:t>
      </w:r>
    </w:p>
    <w:p>
      <w:pPr>
        <w:spacing w:before="60" w:after="80" w:line="276" w:lineRule="auto"/>
        <w:ind w:firstLine="720"/>
        <w:jc w:val="both"/>
      </w:pPr>
      <w:r>
        <w:rPr>
          <w:rFonts w:ascii="Times New Roman" w:hAnsi="Times New Roman"/>
          <w:b w:val="0"/>
          <w:i w:val="0"/>
          <w:color w:val="000000"/>
          <w:sz w:val="26"/>
          <w:rFonts w:ascii="Times New Roman" w:hAnsi="Times New Roman" w:cs="Times New Roman"/>
        </w:rPr>
        <w:t>2. Phòng Kỹ thuật kính đề xuất tiếp tục phối hợp với Phòng Hành chính - Nhân sự để rà soát quy chuẩn bàn giao tài sản cá nhân và chuẩn bị hồ sơ chuyển tiếp hợp đồng chính thức cho 03 nhân sự thử việc có thành tích xuất sắc.</w:t>
      </w:r>
    </w:p>
    <w:p>
      <w:pPr>
        <w:spacing w:before="60" w:after="80" w:line="276" w:lineRule="auto"/>
        <w:ind w:firstLine="720"/>
        <w:jc w:val="both"/>
      </w:pPr>
      <w:r>
        <w:rPr>
          <w:rFonts w:ascii="Times New Roman" w:hAnsi="Times New Roman"/>
          <w:b w:val="0"/>
          <w:i w:val="0"/>
          <w:color w:val="000000"/>
          <w:sz w:val="26"/>
          <w:rFonts w:ascii="Times New Roman" w:hAnsi="Times New Roman" w:cs="Times New Roman"/>
        </w:rPr>
        <w:t>Phòng Kỹ thuật xin gửi kèm theo báo cáo này Biểu mẫu kiểm kê chi tiết về lý lịch nhân sự (Phụ lục 01) và Danh mục mã tài sản/trang thiết bị kỹ thuật chi tiết (Phụ lục 02) theo đúng quy chuẩn ban hành.</w:t>
      </w:r>
    </w:p>
    <w:p>
      <w:pPr>
        <w:spacing w:before="60" w:after="80" w:line="276" w:lineRule="auto"/>
        <w:ind w:firstLine="720"/>
        <w:jc w:val="both"/>
      </w:pPr>
      <w:r>
        <w:rPr>
          <w:rFonts w:ascii="Times New Roman" w:hAnsi="Times New Roman"/>
          <w:b w:val="0"/>
          <w:i w:val="0"/>
          <w:color w:val="000000"/>
          <w:sz w:val="26"/>
          <w:rFonts w:ascii="Times New Roman" w:hAnsi="Times New Roman" w:cs="Times New Roman"/>
        </w:rPr>
        <w:t>Kính trình Ban Tổng Giám đốc xem xét và cho ý kiến chỉ đạo.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4535"/>
            <w:tcMar>
              <w:top w:w="0" w:type="dxa"/>
              <w:left w:w="0" w:type="dxa"/>
              <w:bottom w:w="0" w:type="dxa"/>
              <w:right w:w="0" w:type="dxa"/>
            </w:tcMar>
          </w:tcPr>
          <w:p>
            <w:pPr>
              <w:spacing w:before="160" w:after="40" w:line="252" w:lineRule="auto"/>
              <w:jc w:val="left"/>
            </w:pPr>
            <w:r>
              <w:rPr>
                <w:rFonts w:ascii="Times New Roman" w:hAnsi="Times New Roman"/>
                <w:b/>
                <w:i/>
                <w:color w:val="000000"/>
                <w:sz w:val="24"/>
                <w:rFonts w:ascii="Times New Roman" w:hAnsi="Times New Roman" w:cs="Times New Roman"/>
              </w:rPr>
              <w:t>Nơi nhận:</w:t>
            </w:r>
          </w:p>
          <w:p>
            <w:pPr>
              <w:spacing w:before="0" w:after="0" w:line="252" w:lineRule="auto"/>
              <w:jc w:val="left"/>
            </w:pPr>
            <w:r>
              <w:rPr>
                <w:rFonts w:ascii="Times New Roman" w:hAnsi="Times New Roman"/>
                <w:b w:val="0"/>
                <w:i w:val="0"/>
                <w:color w:val="000000"/>
                <w:sz w:val="22"/>
                <w:rFonts w:ascii="Times New Roman" w:hAnsi="Times New Roman" w:cs="Times New Roman"/>
              </w:rPr>
              <w:t>- Như Kính gửi (để báo cáo);</w:t>
              <w:br/>
              <w:t>- Phòng HC-NS (để phối hợp);</w:t>
              <w:br/>
              <w:t>- Phòng Kế toán (để tổng hợp);</w:t>
              <w:br/>
              <w:t>- Lưu: VT, KT.</w:t>
            </w:r>
          </w:p>
        </w:tc>
        <w:tc>
          <w:tcPr>
            <w:tcW w:type="dxa" w:w="4819"/>
            <w:tcMar>
              <w:top w:w="0" w:type="dxa"/>
              <w:left w:w="0" w:type="dxa"/>
              <w:bottom w:w="0" w:type="dxa"/>
              <w:right w:w="0" w:type="dxa"/>
            </w:tcMar>
          </w:tcPr>
          <w:p>
            <w:pPr>
              <w:spacing w:before="160" w:after="40" w:line="252" w:lineRule="auto"/>
              <w:jc w:val="center"/>
            </w:pPr>
            <w:r>
              <w:rPr>
                <w:rFonts w:ascii="Times New Roman" w:hAnsi="Times New Roman"/>
                <w:b/>
                <w:i w:val="0"/>
                <w:color w:val="000000"/>
                <w:sz w:val="26"/>
                <w:rFonts w:ascii="Times New Roman" w:hAnsi="Times New Roman" w:cs="Times New Roman"/>
              </w:rPr>
              <w:t>TRƯỞNG PHÒNG KỸ THUẬT</w:t>
            </w:r>
          </w:p>
          <w:p>
            <w:pPr>
              <w:spacing w:before="900" w:after="0" w:line="240" w:lineRule="auto"/>
              <w:jc w:val="center"/>
            </w:pPr>
            <w:r>
              <w:rPr>
                <w:rFonts w:ascii="Times New Roman" w:hAnsi="Times New Roman"/>
                <w:b/>
                <w:i w:val="0"/>
                <w:color w:val="000000"/>
                <w:sz w:val="26"/>
                <w:rFonts w:ascii="Times New Roman" w:hAnsi="Times New Roman" w:cs="Times New Roman"/>
              </w:rPr>
              <w:t>Nguyễn Văn A</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