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Listing paralelno prikazuje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Poređenje sa razvijenim simulatorom</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r>
        <w:rPr>
          <w:lang w:val="sr-Latn-RS"/>
        </w:rPr>
        <w:t>Teorijske osnove RISC-V arhitekture i simulacije</w:t>
      </w:r>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r>
        <w:rPr>
          <w:lang w:val="sr-Latn-RS"/>
        </w:rPr>
        <w:t>RISC-V i pojam arhitekture skupa instrukcija</w:t>
      </w:r>
    </w:p>
    <w:p>
      <w:pPr>
        <w:pStyle w:val="Osnovnitekst"/>
      </w:pPr>
      <w:r>
        <w:rPr>
          <w:lang w:val="sr-Latn-RS"/>
        </w:rPr>
        <w:t>Arhitektura skupa instrukcija (engl. Instruction Set Architecture,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RV32I pripada arhitekturama tipa load-store: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r>
        <w:rPr>
          <w:lang w:val="sr-Latn-RS"/>
        </w:rPr>
        <w:t>Registri, programski brojač i memorija</w:t>
      </w:r>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Programski brojač, skraćeno PC (engl. Program Counter),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Memorija je bajtovski adresibilna: svaka adresa označava jedan bajt, a memorijska reč od 32 bita zauzima 4 uzastopna bajta. U simulatoru je izabran little-endian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r>
        <w:rPr>
          <w:lang w:val="sr-Latn-RS"/>
        </w:rPr>
        <w:t>Grupe podržanih instrukcija i pseudo-instrukcije</w:t>
      </w:r>
    </w:p>
    <w:p>
      <w:pPr>
        <w:pStyle w:val="Osnovnitekst"/>
      </w:pPr>
      <w:r>
        <w:rPr>
          <w:lang w:val="sr-Latn-RS"/>
        </w:rPr>
        <w:t>Instrukcije ADD i SUB sabiraju i oduzimaju vrednosti iz dva registra, dok ADDI sabira vrednost registra sa konstantom navedenom u samoj instrukciji (engl. immediate).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r>
        <w:rPr>
          <w:lang w:val="sr-Latn-RS"/>
        </w:rPr>
        <w:t>Uloga parsera, asemblera i simulatora</w:t>
      </w:r>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U uobičajenom postupku asembliranja izlaz uključuje mašinski kod, ali se u ovom radu formira niz objekata koji opisuju instrukcije. Simulator zatim čita pripremljene operande i menja registre, memoriju i PC, bez ponovnog tumačenja izvornog teksta. Ovim se razdvaja ispravnost zapisa od ponašanja pri izvršavanju, dok korisnički interfejs omogućava praćenje dobijenog stanja.</w:t>
      </w:r>
    </w:p>
    <w:p>
      <w:pPr>
        <w:pStyle w:val="Osnovnitekst"/>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RISC-V International. The RISC-V Instruction Set Manual, Volume I: Unprivileged Architecture, izdanje 20260120, RV32I Base Integer Instruction Set, Version 2.1. https://docs.riscv.org/reference/isa/v20260120/unpriv/rv32.html [pristupljeno 28.09.2026.].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