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90" w:rsidRDefault="00E249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Travaux pratiques de Méthodologie Qualitative 18/19</w:t>
      </w:r>
    </w:p>
    <w:p w:rsidR="008C5D90" w:rsidRDefault="00E249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Canevas d’entretien</w:t>
      </w:r>
    </w:p>
    <w:p w:rsidR="008C5D90" w:rsidRDefault="008C5D90">
      <w:pPr>
        <w:jc w:val="center"/>
        <w:rPr>
          <w:b/>
          <w:sz w:val="28"/>
          <w:szCs w:val="28"/>
        </w:rPr>
      </w:pPr>
    </w:p>
    <w:p w:rsidR="008C5D90" w:rsidRDefault="00E249F5">
      <w:pPr>
        <w:spacing w:before="60" w:after="60" w:line="276" w:lineRule="auto"/>
        <w:jc w:val="both"/>
        <w:rPr>
          <w:b/>
        </w:rPr>
      </w:pPr>
      <w:r>
        <w:rPr>
          <w:b/>
        </w:rPr>
        <w:t>Questions de recherche</w:t>
      </w:r>
    </w:p>
    <w:p w:rsidR="008C5D90" w:rsidRDefault="00E249F5">
      <w:pPr>
        <w:spacing w:before="60" w:after="60" w:line="276" w:lineRule="auto"/>
        <w:ind w:left="567"/>
        <w:jc w:val="both"/>
      </w:pPr>
      <w:bookmarkStart w:id="0" w:name="_gjdgxs" w:colFirst="0" w:colLast="0"/>
      <w:bookmarkEnd w:id="0"/>
      <w:r>
        <w:t>1) Quelles sont les représentations et les pratiques de la population romande, âgée de plus de 18 ans, concernant la santé digitale ? (Question générale – valable pour tous)</w:t>
      </w:r>
    </w:p>
    <w:p w:rsidR="008C5D90" w:rsidRDefault="00E249F5">
      <w:pPr>
        <w:tabs>
          <w:tab w:val="right" w:pos="9632"/>
        </w:tabs>
        <w:spacing w:before="60" w:after="60" w:line="360" w:lineRule="auto"/>
        <w:ind w:left="567"/>
        <w:jc w:val="both"/>
        <w:rPr>
          <w:u w:val="single"/>
        </w:rPr>
      </w:pPr>
      <w:r>
        <w:rPr>
          <w:color w:val="C0504D"/>
        </w:rPr>
        <w:t>2) Question de recherche spécifique (à définir par chaque sous-groupe):</w:t>
      </w:r>
    </w:p>
    <w:p w:rsidR="008C5D90" w:rsidRDefault="00E249F5" w:rsidP="00E249F5">
      <w:pPr>
        <w:tabs>
          <w:tab w:val="right" w:pos="9632"/>
        </w:tabs>
        <w:spacing w:before="60" w:after="60" w:line="276" w:lineRule="auto"/>
        <w:ind w:left="567"/>
        <w:jc w:val="both"/>
        <w:rPr>
          <w:i/>
        </w:rPr>
      </w:pPr>
      <w:r>
        <w:rPr>
          <w:i/>
        </w:rPr>
        <w:t>Comment l’</w:t>
      </w:r>
      <w:r>
        <w:rPr>
          <w:i/>
        </w:rPr>
        <w:t>utilisation d’applications de contraception peut-elle influencer le bien-être des jeunes femmes professionnelles (entrées dans le monde professionnel il y a moins de 5 ans) de plus de 18 ans?</w:t>
      </w:r>
    </w:p>
    <w:p w:rsidR="008C5D90" w:rsidRDefault="00E249F5">
      <w:pPr>
        <w:spacing w:before="60" w:after="60" w:line="276" w:lineRule="auto"/>
        <w:jc w:val="both"/>
        <w:rPr>
          <w:b/>
        </w:rPr>
      </w:pPr>
      <w:r>
        <w:rPr>
          <w:b/>
        </w:rPr>
        <w:t>Suppositions</w:t>
      </w:r>
    </w:p>
    <w:p w:rsidR="008C5D90" w:rsidRDefault="00E249F5" w:rsidP="00E249F5">
      <w:pPr>
        <w:numPr>
          <w:ilvl w:val="0"/>
          <w:numId w:val="1"/>
        </w:numPr>
        <w:tabs>
          <w:tab w:val="right" w:pos="9632"/>
        </w:tabs>
        <w:spacing w:before="60" w:after="60" w:line="276" w:lineRule="auto"/>
        <w:contextualSpacing/>
        <w:jc w:val="both"/>
        <w:rPr>
          <w:i/>
        </w:rPr>
      </w:pPr>
      <w:r>
        <w:rPr>
          <w:i/>
        </w:rPr>
        <w:t>L’utilisation des applications améliore le sentim</w:t>
      </w:r>
      <w:r>
        <w:rPr>
          <w:i/>
        </w:rPr>
        <w:t xml:space="preserve">ent de confiance (contrôle sur plusieurs aspects de la vie comme la santé physique, planification d’activités, sexualité </w:t>
      </w:r>
      <w:proofErr w:type="spellStart"/>
      <w:r>
        <w:rPr>
          <w:i/>
        </w:rPr>
        <w:t>secure</w:t>
      </w:r>
      <w:proofErr w:type="spellEnd"/>
      <w:r>
        <w:rPr>
          <w:i/>
        </w:rPr>
        <w:t>) chez les utilisatrices.</w:t>
      </w:r>
    </w:p>
    <w:p w:rsidR="008C5D90" w:rsidRDefault="00E249F5" w:rsidP="00E249F5">
      <w:pPr>
        <w:numPr>
          <w:ilvl w:val="0"/>
          <w:numId w:val="1"/>
        </w:numPr>
        <w:tabs>
          <w:tab w:val="right" w:pos="9632"/>
        </w:tabs>
        <w:spacing w:before="60" w:after="60" w:line="276" w:lineRule="auto"/>
        <w:contextualSpacing/>
        <w:jc w:val="both"/>
      </w:pPr>
      <w:r>
        <w:rPr>
          <w:i/>
        </w:rPr>
        <w:t>La prédiction exacte de la menstruation peut créer de l’incertitude en cas de retard menstruel</w:t>
      </w:r>
      <w:bookmarkStart w:id="1" w:name="_GoBack"/>
      <w:bookmarkEnd w:id="1"/>
    </w:p>
    <w:p w:rsidR="008C5D90" w:rsidRDefault="00E249F5">
      <w:pPr>
        <w:spacing w:before="60" w:after="60" w:line="276" w:lineRule="auto"/>
        <w:jc w:val="both"/>
        <w:rPr>
          <w:b/>
        </w:rPr>
      </w:pPr>
      <w:r>
        <w:rPr>
          <w:b/>
        </w:rPr>
        <w:t>Populat</w:t>
      </w:r>
      <w:r>
        <w:rPr>
          <w:b/>
        </w:rPr>
        <w:t>ion</w:t>
      </w:r>
    </w:p>
    <w:p w:rsidR="00E249F5" w:rsidRPr="00E249F5" w:rsidRDefault="00E249F5" w:rsidP="00E249F5">
      <w:pPr>
        <w:spacing w:before="60" w:after="60" w:line="276" w:lineRule="auto"/>
        <w:ind w:left="720"/>
        <w:jc w:val="both"/>
        <w:rPr>
          <w:i/>
          <w:color w:val="000000"/>
        </w:rPr>
      </w:pPr>
      <w:r w:rsidRPr="00E249F5">
        <w:rPr>
          <w:i/>
          <w:color w:val="000000"/>
        </w:rPr>
        <w:t>Jeunes professionnelles (entrées dans le monde professionnel il y a moins de 5 ans) dès 18 ans qui utilisent une application de contraception.</w:t>
      </w:r>
    </w:p>
    <w:p w:rsidR="008C5D90" w:rsidRDefault="00E249F5">
      <w:pPr>
        <w:spacing w:before="60" w:after="60" w:line="276" w:lineRule="auto"/>
        <w:jc w:val="both"/>
        <w:rPr>
          <w:b/>
          <w:color w:val="000000"/>
        </w:rPr>
      </w:pPr>
      <w:r>
        <w:rPr>
          <w:b/>
          <w:color w:val="000000"/>
        </w:rPr>
        <w:t>Consigne initiale</w:t>
      </w:r>
    </w:p>
    <w:p w:rsidR="008C5D90" w:rsidRDefault="00E249F5" w:rsidP="00E249F5">
      <w:pPr>
        <w:tabs>
          <w:tab w:val="left" w:pos="1343"/>
          <w:tab w:val="right" w:pos="9632"/>
        </w:tabs>
        <w:spacing w:before="60" w:after="60" w:line="360" w:lineRule="auto"/>
        <w:jc w:val="both"/>
        <w:rPr>
          <w:i/>
        </w:rPr>
      </w:pPr>
      <w:r>
        <w:rPr>
          <w:i/>
        </w:rPr>
        <w:t>Pourquoi avez-vous décidé d’utiliser une application de contraception?</w:t>
      </w:r>
    </w:p>
    <w:p w:rsidR="008C5D90" w:rsidRDefault="00E249F5">
      <w:pPr>
        <w:spacing w:before="60" w:after="60" w:line="276" w:lineRule="auto"/>
        <w:jc w:val="both"/>
      </w:pPr>
      <w:r>
        <w:rPr>
          <w:b/>
        </w:rPr>
        <w:t>Thèmes à abord</w:t>
      </w:r>
      <w:r>
        <w:rPr>
          <w:b/>
        </w:rPr>
        <w:t xml:space="preserve">er </w:t>
      </w:r>
      <w:r>
        <w:t>(</w:t>
      </w:r>
      <w:r>
        <w:rPr>
          <w:u w:val="single"/>
        </w:rPr>
        <w:t>usage souple</w:t>
      </w:r>
      <w:r>
        <w:t>)</w:t>
      </w:r>
    </w:p>
    <w:p w:rsidR="00E249F5" w:rsidRDefault="00E249F5">
      <w:pPr>
        <w:spacing w:before="60" w:after="60" w:line="276" w:lineRule="auto"/>
        <w:jc w:val="both"/>
        <w:rPr>
          <w:u w:val="single"/>
        </w:rPr>
      </w:pPr>
    </w:p>
    <w:tbl>
      <w:tblPr>
        <w:tblStyle w:val="a"/>
        <w:tblW w:w="96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6"/>
        <w:gridCol w:w="4816"/>
      </w:tblGrid>
      <w:tr w:rsidR="008C5D90">
        <w:trPr>
          <w:jc w:val="center"/>
        </w:trPr>
        <w:tc>
          <w:tcPr>
            <w:tcW w:w="4816" w:type="dxa"/>
            <w:tcBorders>
              <w:bottom w:val="single" w:sz="4" w:space="0" w:color="000000"/>
            </w:tcBorders>
            <w:shd w:val="clear" w:color="auto" w:fill="auto"/>
          </w:tcPr>
          <w:p w:rsidR="008C5D90" w:rsidRDefault="00E249F5">
            <w:pPr>
              <w:jc w:val="center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Thèmes</w:t>
            </w:r>
          </w:p>
        </w:tc>
        <w:tc>
          <w:tcPr>
            <w:tcW w:w="4816" w:type="dxa"/>
            <w:tcBorders>
              <w:bottom w:val="single" w:sz="4" w:space="0" w:color="000000"/>
            </w:tcBorders>
            <w:shd w:val="clear" w:color="auto" w:fill="auto"/>
          </w:tcPr>
          <w:p w:rsidR="008C5D90" w:rsidRDefault="00E249F5">
            <w:pPr>
              <w:jc w:val="center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Sous-thèmes</w:t>
            </w:r>
          </w:p>
        </w:tc>
      </w:tr>
      <w:tr w:rsidR="008C5D90">
        <w:trPr>
          <w:trHeight w:val="281"/>
          <w:jc w:val="center"/>
        </w:trPr>
        <w:tc>
          <w:tcPr>
            <w:tcW w:w="4816" w:type="dxa"/>
            <w:vMerge w:val="restart"/>
            <w:tcBorders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Santé</w:t>
            </w:r>
          </w:p>
        </w:tc>
        <w:tc>
          <w:tcPr>
            <w:tcW w:w="4816" w:type="dxa"/>
            <w:vMerge w:val="restart"/>
            <w:tcBorders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Santé sexuelle, physique (avertissement de maladies), psychique (stress, sentiment de confiance)</w:t>
            </w:r>
          </w:p>
        </w:tc>
      </w:tr>
      <w:tr w:rsidR="008C5D90">
        <w:trPr>
          <w:trHeight w:val="360"/>
          <w:jc w:val="center"/>
        </w:trPr>
        <w:tc>
          <w:tcPr>
            <w:tcW w:w="4816" w:type="dxa"/>
            <w:vMerge/>
            <w:tcBorders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>
        <w:trPr>
          <w:trHeight w:val="360"/>
          <w:jc w:val="center"/>
        </w:trPr>
        <w:tc>
          <w:tcPr>
            <w:tcW w:w="4816" w:type="dxa"/>
            <w:vMerge/>
            <w:tcBorders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>
        <w:trPr>
          <w:trHeight w:val="324"/>
          <w:jc w:val="center"/>
        </w:trPr>
        <w:tc>
          <w:tcPr>
            <w:tcW w:w="4816" w:type="dxa"/>
            <w:vMerge/>
            <w:tcBorders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>
        <w:trPr>
          <w:trHeight w:val="281"/>
          <w:jc w:val="center"/>
        </w:trPr>
        <w:tc>
          <w:tcPr>
            <w:tcW w:w="4816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Sexualité</w:t>
            </w:r>
          </w:p>
        </w:tc>
        <w:tc>
          <w:tcPr>
            <w:tcW w:w="4816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Relation sexuelle, liberté sexuelle, fertilité.</w:t>
            </w:r>
          </w:p>
        </w:tc>
      </w:tr>
      <w:tr w:rsidR="008C5D90">
        <w:trPr>
          <w:trHeight w:val="360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>
        <w:trPr>
          <w:trHeight w:val="360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 w:rsidTr="00E249F5">
        <w:trPr>
          <w:trHeight w:val="324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>
        <w:trPr>
          <w:trHeight w:val="281"/>
          <w:jc w:val="center"/>
        </w:trPr>
        <w:tc>
          <w:tcPr>
            <w:tcW w:w="4816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Contrôle</w:t>
            </w:r>
          </w:p>
        </w:tc>
        <w:tc>
          <w:tcPr>
            <w:tcW w:w="4816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Planification des activités, régularité, prise de pilule ou autre contraceptif.</w:t>
            </w:r>
          </w:p>
          <w:p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>
        <w:trPr>
          <w:trHeight w:val="324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>
        <w:trPr>
          <w:trHeight w:val="324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>
        <w:trPr>
          <w:trHeight w:val="324"/>
          <w:jc w:val="center"/>
        </w:trPr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C0504D"/>
              </w:rPr>
            </w:pPr>
          </w:p>
        </w:tc>
        <w:tc>
          <w:tcPr>
            <w:tcW w:w="4816" w:type="dxa"/>
            <w:vMerge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8C5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C0504D"/>
              </w:rPr>
            </w:pPr>
          </w:p>
        </w:tc>
      </w:tr>
      <w:tr w:rsidR="008C5D90">
        <w:trPr>
          <w:jc w:val="center"/>
        </w:trPr>
        <w:tc>
          <w:tcPr>
            <w:tcW w:w="48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Facteur social</w:t>
            </w:r>
          </w:p>
        </w:tc>
        <w:tc>
          <w:tcPr>
            <w:tcW w:w="48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Planification des activités, vie sociale,  partenaires sexuels.</w:t>
            </w:r>
          </w:p>
          <w:p w:rsidR="008C5D90" w:rsidRDefault="008C5D90">
            <w:pPr>
              <w:jc w:val="both"/>
              <w:rPr>
                <w:b/>
                <w:color w:val="C0504D"/>
              </w:rPr>
            </w:pPr>
          </w:p>
        </w:tc>
      </w:tr>
      <w:tr w:rsidR="008C5D90">
        <w:trPr>
          <w:jc w:val="center"/>
        </w:trPr>
        <w:tc>
          <w:tcPr>
            <w:tcW w:w="48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Désavantages</w:t>
            </w:r>
          </w:p>
        </w:tc>
        <w:tc>
          <w:tcPr>
            <w:tcW w:w="48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C5D90" w:rsidRDefault="00E249F5">
            <w:pPr>
              <w:jc w:val="both"/>
              <w:rPr>
                <w:b/>
                <w:color w:val="C0504D"/>
              </w:rPr>
            </w:pPr>
            <w:r>
              <w:rPr>
                <w:b/>
                <w:color w:val="C0504D"/>
              </w:rPr>
              <w:t>Anxiété, surcontrôle, stress, perte de responsabilité, perte de la proximité avec son corps.</w:t>
            </w:r>
          </w:p>
        </w:tc>
      </w:tr>
    </w:tbl>
    <w:p w:rsidR="008C5D90" w:rsidRDefault="008C5D90" w:rsidP="00E249F5">
      <w:pPr>
        <w:jc w:val="both"/>
        <w:rPr>
          <w:b/>
          <w:sz w:val="22"/>
          <w:szCs w:val="22"/>
        </w:rPr>
      </w:pPr>
    </w:p>
    <w:sectPr w:rsidR="008C5D90">
      <w:pgSz w:w="11900" w:h="16840"/>
      <w:pgMar w:top="851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03F7C"/>
    <w:multiLevelType w:val="multilevel"/>
    <w:tmpl w:val="51C09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D90"/>
    <w:rsid w:val="008C5D90"/>
    <w:rsid w:val="00E2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8D40F"/>
  <w15:docId w15:val="{0A468846-BCEE-48C8-AB24-0F6675DE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fr-FR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Dunja J. Vulliemin</cp:lastModifiedBy>
  <cp:revision>2</cp:revision>
  <dcterms:created xsi:type="dcterms:W3CDTF">2018-10-14T20:42:00Z</dcterms:created>
  <dcterms:modified xsi:type="dcterms:W3CDTF">2018-10-14T20:46:00Z</dcterms:modified>
</cp:coreProperties>
</file>