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17365d"/>
          <w:sz w:val="31"/>
          <w:szCs w:val="31"/>
          <w:rtl w:val="0"/>
        </w:rPr>
        <w:t xml:space="preserve">MBAISE PROGRESSIVE UNION, WASHINGTON DC METRO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color w:val="444444"/>
          <w:sz w:val="22"/>
          <w:szCs w:val="22"/>
          <w:rtl w:val="0"/>
        </w:rPr>
        <w:t xml:space="preserve">MPU 2026 ELECTORAL COMMITTEE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36"/>
          <w:szCs w:val="36"/>
          <w:rtl w:val="0"/>
        </w:rPr>
        <w:t xml:space="preserve">OFFICIAL ELECTION TIMETABLE 2026 - FINAL</w:t>
      </w:r>
      <w:r w:rsidDel="00000000" w:rsidR="00000000" w:rsidRPr="00000000">
        <w:rPr>
          <w:rtl w:val="0"/>
        </w:rPr>
      </w:r>
    </w:p>
    <w:tbl>
      <w:tblPr>
        <w:tblStyle w:val="Table1"/>
        <w:tblW w:w="14544.0" w:type="dxa"/>
        <w:jc w:val="center"/>
        <w:tblLayout w:type="fixed"/>
        <w:tblLook w:val="0400"/>
      </w:tblPr>
      <w:tblGrid>
        <w:gridCol w:w="4848"/>
        <w:gridCol w:w="4848"/>
        <w:gridCol w:w="4848"/>
        <w:tblGridChange w:id="0">
          <w:tblGrid>
            <w:gridCol w:w="4848"/>
            <w:gridCol w:w="4848"/>
            <w:gridCol w:w="4848"/>
          </w:tblGrid>
        </w:tblGridChange>
      </w:tblGrid>
      <w:tr>
        <w:trPr>
          <w:cantSplit w:val="0"/>
          <w:tblHeader w:val="0"/>
        </w:trPr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EC Constituted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Wednesday, September 30,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Election Date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Sunday, November 15,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af2f8" w:val="clear"/>
            <w:tcMar>
              <w:top w:w="70.0" w:type="dxa"/>
              <w:bottom w:w="70.0" w:type="dxa"/>
            </w:tcMar>
          </w:tcPr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7365d"/>
                <w:sz w:val="16"/>
                <w:szCs w:val="16"/>
                <w:rtl w:val="0"/>
              </w:rPr>
              <w:t xml:space="preserve">Constitutional Reference</w:t>
              <w:br w:type="textWrapping"/>
            </w:r>
            <w:r w:rsidDel="00000000" w:rsidR="00000000" w:rsidRPr="00000000">
              <w:rPr>
                <w:sz w:val="16"/>
                <w:szCs w:val="16"/>
                <w:rtl w:val="0"/>
              </w:rPr>
              <w:t xml:space="preserve">MPU Constitution - 9/27/26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4760.0" w:type="dxa"/>
        <w:jc w:val="center"/>
        <w:tblLayout w:type="fixed"/>
        <w:tblLook w:val="0400"/>
      </w:tblPr>
      <w:tblGrid>
        <w:gridCol w:w="2232"/>
        <w:gridCol w:w="5112"/>
        <w:gridCol w:w="7416"/>
        <w:tblGridChange w:id="0">
          <w:tblGrid>
            <w:gridCol w:w="2232"/>
            <w:gridCol w:w="5112"/>
            <w:gridCol w:w="7416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OFFICIAL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90.0" w:type="dxa"/>
              <w:bottom w:w="9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WHAT IT MEANS / EC 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f0d9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Sept. 30 (Wed)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EC Constituted &amp; Activated -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2f0d9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 Electoral Committee was formally constituted. Ad hoc election work begins. No swearing-in is required for an ad hoc committee.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1-2 (Thu-Fri)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Adopt &amp; Publish Election Guidelines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EC finalizes, adopts, and publishes election procedures. Voting must be by secret ballot, and the guidelines must remain consistent with the Constitution.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3-9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Voter &amp; Candidate Education 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Explain who may vote, who may contest, attendance and financial requirements, nomination procedures, secret ballot, no-proxy voting, and Election Day expectations.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11 (Sun)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Publish Provisional Voter Register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Publish the preliminary list of members who appear eligible to vote based on official MPU membership, attendance, financial, and LGA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11-17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Voter Register Review &amp; Correction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Members may report name, LGA, membership history, attendance, financial records, or other official-record discrepancies. Corrections must be supported by official MPU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18 (Sun)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Official Eligibility Records Cutoff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Records supplied by the responsible MPU offices are frozen for election administration. The EC applies the constitutional eligibility requirements to those official records.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19-25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Nomination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Nomination forms are issued and submitted. Only constitutionally eligible active members may nominate or be nominated.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26-28 (Mon-Wed)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Candidate Screening by 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EC reviews candidate eligibility using official records, including age, membership duration, attendance, financial standing, prior-office history, and applicable restrictions.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31 (Sat)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Publish Provisional Candidate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Publish the preliminary list of candidates cleared through EC screening, subject to correction, clarification, and any constitutionally proper complaint.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Oct. 31-Nov. 3 (Sat-Tue)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Candidate List Review / Correction / Complaint Window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Candidates or members may submit documented administrative or record discrepancies to the EC for correction or clarification. Written grievances, misconduct allegations, or constitutional-violation petitions within Article V, Section 8 may be submitted to the BOD.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Nov. 3 (Tue) - 11:59 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Regular Candidate Withdrawal 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Candidates who voluntarily withdraw by this deadline will be removed before publication of the Final Candidate List. Withdrawal must be confirmed through the candidate email on record using a verification code. Late withdrawals may still be accepted and documented, but ballot or publication changes will depend on the stage of election preparation.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Nov. 4 (Wed)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Publish Final Voter Register &amp; Final Candidate 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These lists become the controlling election-administration records after the regular withdrawal deadline. No routine additions or changes will be accepted after publication, except correction of a documented administrative error, a properly recorded late withdrawal, or action required under the Constitution.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Nov. 5-14 (Thu-Sat)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Official Campaign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Only qualified candidates may campaign. Campaign conduct must comply with MPU rules and the published Electoral Committee guidelines.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Nov. 8 (Sun)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Candidate Manifesto Night / Forum / Infomercials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Candidates present their plans under the EC's published forum rules, speaking order, time limits, and neutrality requirements.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5"/>
                <w:szCs w:val="15"/>
                <w:rtl w:val="0"/>
              </w:rPr>
              <w:t xml:space="preserve">Nov. 15 (Sun)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1f4e79"/>
                <w:sz w:val="15"/>
                <w:szCs w:val="15"/>
                <w:rtl w:val="0"/>
              </w:rPr>
              <w:t xml:space="preserve">MPU 2026 General Election Meeting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2cc" w:val="clear"/>
            <w:tcMar>
              <w:top w:w="52.0" w:type="dxa"/>
              <w:bottom w:w="5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Accreditation, secret-ballot voting, counting, reconciliation, and declaration of results. No proxy voting. Eligible members receive the ballot(s) for which they are entitled to vote.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spacing w:after="0" w:before="80" w:lineRule="auto"/>
        <w:rPr/>
      </w:pPr>
      <w:r w:rsidDel="00000000" w:rsidR="00000000" w:rsidRPr="00000000">
        <w:rPr>
          <w:b w:val="1"/>
          <w:bCs w:val="1"/>
          <w:color w:val="17365d"/>
          <w:sz w:val="18"/>
          <w:szCs w:val="18"/>
          <w:rtl w:val="0"/>
        </w:rPr>
        <w:t xml:space="preserve">CONSTITUTIONAL CONTROL NOTES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7" w:lineRule="auto"/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sz w:val="14"/>
          <w:szCs w:val="14"/>
          <w:rtl w:val="0"/>
        </w:rPr>
        <w:t xml:space="preserve">The MPU Constitution controls where any Electoral Committee guideline or timetable provision conflicts with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7" w:lineRule="auto"/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sz w:val="14"/>
          <w:szCs w:val="14"/>
          <w:rtl w:val="0"/>
        </w:rPr>
        <w:t xml:space="preserve">Eligibility determinations must be based on official MPU records supplied by the appropriate record custodians; the EC applies the constitutional criteria but does not create new eligibility requirements.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7" w:lineRule="auto"/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sz w:val="14"/>
          <w:szCs w:val="14"/>
          <w:rtl w:val="0"/>
        </w:rPr>
        <w:t xml:space="preserve">Article V, Section 8: BOD jurisdiction should not be treated as a blanket appeal of every EC administrative decision.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" w:lineRule="auto"/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sz w:val="14"/>
          <w:szCs w:val="14"/>
          <w:rtl w:val="0"/>
        </w:rPr>
        <w:t xml:space="preserve">Election postponement may not be ordered unilaterally by the EC; the constitutional postponement procedure must be followed.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7" w:lineRule="auto"/>
        <w:ind w:left="259" w:hanging="173"/>
        <w:rPr/>
      </w:pPr>
      <w:r w:rsidDel="00000000" w:rsidR="00000000" w:rsidRPr="00000000">
        <w:rPr>
          <w:b w:val="1"/>
          <w:bCs w:val="1"/>
          <w:rtl w:val="0"/>
        </w:rPr>
        <w:t xml:space="preserve">• </w:t>
      </w:r>
      <w:r w:rsidDel="00000000" w:rsidR="00000000" w:rsidRPr="00000000">
        <w:rPr>
          <w:sz w:val="14"/>
          <w:szCs w:val="14"/>
          <w:rtl w:val="0"/>
        </w:rPr>
        <w:t xml:space="preserve">Candidate withdrawal is an EC administrative process not expressly prescribed by the Constitution. A verified withdrawal should be retained as part of the candidate audit record; a late withdrawal should not erase the historical record.</w:t>
      </w:r>
      <w:r w:rsidDel="00000000" w:rsidR="00000000" w:rsidRPr="00000000">
        <w:rPr>
          <w:rtl w:val="0"/>
        </w:rPr>
      </w:r>
    </w:p>
    <w:tbl>
      <w:tblPr>
        <w:tblStyle w:val="Table3"/>
        <w:tblW w:w="14544.0" w:type="dxa"/>
        <w:jc w:val="center"/>
        <w:tblLayout w:type="fixed"/>
        <w:tblLook w:val="0400"/>
      </w:tblPr>
      <w:tblGrid>
        <w:gridCol w:w="7272"/>
        <w:gridCol w:w="7272"/>
        <w:tblGridChange w:id="0">
          <w:tblGrid>
            <w:gridCol w:w="7272"/>
            <w:gridCol w:w="727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AU Ukeje</w:t>
              <w:br w:type="textWrapping"/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_______________________________</w:t>
              <w:br w:type="textWrapping"/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Chairman / Chief Electoral Officer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br w:type="textWrapping"/>
              <w:t xml:space="preserve">_______________________________</w:t>
              <w:br w:type="textWrapping"/>
            </w:r>
            <w:r w:rsidDel="00000000" w:rsidR="00000000" w:rsidRPr="00000000">
              <w:rPr>
                <w:sz w:val="15"/>
                <w:szCs w:val="15"/>
                <w:rtl w:val="0"/>
              </w:rPr>
              <w:t xml:space="preserve">Electoral Committee Secretary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Date: 10/7/2027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Date: 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2240" w:w="15840" w:orient="landscape"/>
      <w:pgMar w:bottom="605" w:top="605" w:left="648" w:right="64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6e6e6e"/>
        <w:sz w:val="13"/>
        <w:szCs w:val="13"/>
        <w:u w:val="none"/>
        <w:shd w:fill="auto" w:val="clear"/>
        <w:vertAlign w:val="baseline"/>
        <w:rtl w:val="0"/>
      </w:rPr>
      <w:t xml:space="preserve">MPU 2026 Electoral Committee • Official Election Timetable 2026 • Final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6"/>
        <w:szCs w:val="1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eB9zLMZGNa3+MMxrUJx3k7OgsA==">CgMxLjA4AHIhMWwxVVp5M0ljbW4zYWUxZ1VOOHlfVUVBNXZpdmxDZGVt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