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BF11" w14:textId="281EB725" w:rsidR="00057732" w:rsidRDefault="003513B7">
      <w:r>
        <w:t>Portfolio:</w:t>
      </w:r>
    </w:p>
    <w:p w14:paraId="5FD234C9" w14:textId="5E435A00" w:rsidR="003513B7" w:rsidRDefault="003513B7" w:rsidP="003513B7">
      <w:pPr>
        <w:pStyle w:val="ListParagraph"/>
        <w:numPr>
          <w:ilvl w:val="0"/>
          <w:numId w:val="1"/>
        </w:numPr>
      </w:pPr>
      <w:r>
        <w:t>Holdings</w:t>
      </w:r>
    </w:p>
    <w:p w14:paraId="34352B52" w14:textId="77777777" w:rsidR="003513B7" w:rsidRDefault="003513B7" w:rsidP="003513B7">
      <w:pPr>
        <w:pStyle w:val="ListParagraph"/>
        <w:numPr>
          <w:ilvl w:val="0"/>
          <w:numId w:val="1"/>
        </w:numPr>
      </w:pPr>
      <w:r>
        <w:t>X-Ray:</w:t>
      </w:r>
    </w:p>
    <w:p w14:paraId="3E5AEF7D" w14:textId="5160E6A9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what you actually own, rather than what you bought</w:t>
      </w:r>
    </w:p>
    <w:p w14:paraId="14B65A81" w14:textId="3A927D24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Funds publish roughly their ten largest holdings. Everything below is what those disclosures add up to, so each figure is a floor — the true exposure can only be higher.</w:t>
      </w:r>
    </w:p>
    <w:p w14:paraId="5AF9C9C9" w14:textId="55CDC552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largest underlying companies across every fund</w:t>
      </w:r>
    </w:p>
    <w:p w14:paraId="72599F9F" w14:textId="29EAE6AB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the same company, arriving several ways</w:t>
      </w:r>
    </w:p>
    <w:p w14:paraId="575D5DB7" w14:textId="3840DA3C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≥ marks a floor from partial fund disclosure. Bars are split by which holding each part arrived through — hover a segment to see it.</w:t>
      </w:r>
    </w:p>
    <w:p w14:paraId="28800E1F" w14:textId="6084FA39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through every fund that publishes a split</w:t>
      </w:r>
    </w:p>
    <w:p w14:paraId="264E179A" w14:textId="56D0D586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Percentages are of the whole book. Every holding publishes a sector split.</w:t>
      </w:r>
    </w:p>
    <w:p w14:paraId="18C0C714" w14:textId="57C928C7" w:rsidR="003513B7" w:rsidRDefault="003513B7" w:rsidP="003513B7">
      <w:pPr>
        <w:pStyle w:val="ListParagraph"/>
        <w:numPr>
          <w:ilvl w:val="0"/>
          <w:numId w:val="1"/>
        </w:numPr>
      </w:pPr>
      <w:r>
        <w:t>Performance:</w:t>
      </w:r>
    </w:p>
    <w:p w14:paraId="26F06668" w14:textId="360EB675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What your money actually earned, including the effect of when you added or removed it.</w:t>
      </w:r>
    </w:p>
    <w:p w14:paraId="7333F913" w14:textId="435B76FB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What the strategy earned with contribution timing stripped out — the figure comparable to an index.</w:t>
      </w:r>
    </w:p>
    <w:p w14:paraId="6ED107D6" w14:textId="45CD61F6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Record money entering or leaving the portfolio as a whole — not buys and sells, which move value between cash and a holding without changing what the portfolio is worth. Without these dates there is no money-weighted return to compute.</w:t>
      </w:r>
    </w:p>
    <w:p w14:paraId="27163EEE" w14:textId="47A061B4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Money-weighted return comes from the cash-flow ledger you maintain; time-weighted return from snapshots taken while the app runs. Neither is inferred from holdings — where the data cannot support a figure, it is refused rather than estimated.</w:t>
      </w:r>
    </w:p>
    <w:p w14:paraId="365E0790" w14:textId="2DAB7E3A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Fixed-weight reconstruction: today's share counts priced at each day's close and FX rate. Trades inside the period are not reflected. Contributions are Cariño-linked so they sum to the compounded return. Contributions reconcile to the total exactly.</w:t>
      </w:r>
    </w:p>
    <w:p w14:paraId="64B3BE5B" w14:textId="2CCC5823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where the return came from</w:t>
      </w:r>
    </w:p>
    <w:p w14:paraId="6B9840B3" w14:textId="22D51C84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contribution to the total return</w:t>
      </w:r>
    </w:p>
    <w:p w14:paraId="296B70DF" w14:textId="68713EAA" w:rsidR="003513B7" w:rsidRDefault="003513B7" w:rsidP="003513B7">
      <w:pPr>
        <w:pStyle w:val="ListParagraph"/>
        <w:numPr>
          <w:ilvl w:val="2"/>
          <w:numId w:val="1"/>
        </w:numPr>
      </w:pPr>
      <w:r w:rsidRPr="003513B7">
        <w:t>Contribution to the total return, not each holding's own return — a big mover at 1% of the book contributes less than a small mover at 30%. The average weight is shown so the two are distinguishable.</w:t>
      </w:r>
    </w:p>
    <w:p w14:paraId="3A9A29F3" w14:textId="53AD997D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split into allocation and selection</w:t>
      </w:r>
    </w:p>
    <w:p w14:paraId="4BE4E947" w14:textId="03AEFFCE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written from the figures above, and nothing else</w:t>
      </w:r>
    </w:p>
    <w:p w14:paraId="19D188A7" w14:textId="1F925573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Effects are measured against this portfolio's own average return. They are not benchmark-relative, and the allocation effect here does not mean the same thing as a Brinson allocation effect against an index.</w:t>
      </w:r>
    </w:p>
    <w:p w14:paraId="38E80997" w14:textId="7D5653A6" w:rsidR="003513B7" w:rsidRDefault="003513B7" w:rsidP="003513B7">
      <w:pPr>
        <w:pStyle w:val="ListParagraph"/>
        <w:numPr>
          <w:ilvl w:val="0"/>
          <w:numId w:val="1"/>
        </w:numPr>
      </w:pPr>
      <w:r>
        <w:t>Analysis:</w:t>
      </w:r>
    </w:p>
    <w:p w14:paraId="27D4DC1D" w14:textId="2D217CC9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5 priced</w:t>
      </w:r>
    </w:p>
    <w:p w14:paraId="5C855307" w14:textId="079605DF" w:rsidR="003513B7" w:rsidRDefault="003513B7" w:rsidP="003513B7">
      <w:pPr>
        <w:pStyle w:val="ListParagraph"/>
        <w:numPr>
          <w:ilvl w:val="1"/>
          <w:numId w:val="1"/>
        </w:numPr>
      </w:pPr>
      <w:r>
        <w:t>3 types</w:t>
      </w:r>
    </w:p>
    <w:p w14:paraId="42CA02DD" w14:textId="6FA4C19B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 xml:space="preserve">Lifting and holding back are measured by each holding's actual pull on the weighted average — position size times its distance from the mean — not by which scored highest. A large holding scoring slightly below average drags the </w:t>
      </w:r>
      <w:r w:rsidRPr="003513B7">
        <w:lastRenderedPageBreak/>
        <w:t>portfolio more than a small one scoring zero. Cash is excluded; axes are weighted as this mandate weights them.</w:t>
      </w:r>
    </w:p>
    <w:p w14:paraId="6FD7D171" w14:textId="7D51EC0A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Daily return correlation over each pair's overlapping history, joined on date. 10 of 10 pairs had enough overlap to measure.</w:t>
      </w:r>
    </w:p>
    <w:p w14:paraId="50BE94B1" w14:textId="18B63FAD" w:rsidR="003513B7" w:rsidRDefault="003513B7" w:rsidP="003513B7">
      <w:pPr>
        <w:pStyle w:val="ListParagraph"/>
        <w:numPr>
          <w:ilvl w:val="1"/>
          <w:numId w:val="1"/>
        </w:numPr>
      </w:pPr>
      <w:r w:rsidRPr="003513B7">
        <w:t>Every figure on this page is computed server-side from stored daily bars, published fund composition and live prices at the moment of the request. Nothing here is cached in the browser or carried over from a previous session.</w:t>
      </w:r>
    </w:p>
    <w:p w14:paraId="237A687C" w14:textId="302E56AE" w:rsidR="003513B7" w:rsidRDefault="003513B7" w:rsidP="003513B7">
      <w:pPr>
        <w:pStyle w:val="ListParagraph"/>
        <w:numPr>
          <w:ilvl w:val="0"/>
          <w:numId w:val="1"/>
        </w:numPr>
      </w:pPr>
      <w:r>
        <w:t>Allocate</w:t>
      </w:r>
    </w:p>
    <w:p w14:paraId="736001F8" w14:textId="0C814F3A" w:rsidR="003513B7" w:rsidRDefault="003513B7" w:rsidP="003513B7">
      <w:pPr>
        <w:pStyle w:val="ListParagraph"/>
        <w:numPr>
          <w:ilvl w:val="0"/>
          <w:numId w:val="1"/>
        </w:numPr>
      </w:pPr>
      <w:r>
        <w:t>Rebuild</w:t>
      </w:r>
    </w:p>
    <w:p w14:paraId="0892C1D1" w14:textId="77777777" w:rsidR="001E4184" w:rsidRDefault="001E4184" w:rsidP="001E4184"/>
    <w:p w14:paraId="5FDEB1F8" w14:textId="77777777" w:rsidR="001E4184" w:rsidRDefault="001E4184" w:rsidP="001E4184"/>
    <w:p w14:paraId="274DC73F" w14:textId="77777777" w:rsidR="001E4184" w:rsidRDefault="001E4184" w:rsidP="001E4184"/>
    <w:p w14:paraId="002EA9C9" w14:textId="7311746B" w:rsidR="001E4184" w:rsidRDefault="001E4184" w:rsidP="001E4184">
      <w:r>
        <w:t>Make screener page into a sub-page of the research page.</w:t>
      </w:r>
    </w:p>
    <w:sectPr w:rsidR="001E4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02CB8"/>
    <w:multiLevelType w:val="hybridMultilevel"/>
    <w:tmpl w:val="72C4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77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B7"/>
    <w:rsid w:val="00057732"/>
    <w:rsid w:val="0009007C"/>
    <w:rsid w:val="001E4184"/>
    <w:rsid w:val="003513B7"/>
    <w:rsid w:val="007513A7"/>
    <w:rsid w:val="00BC0919"/>
    <w:rsid w:val="00BE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7899"/>
  <w15:chartTrackingRefBased/>
  <w15:docId w15:val="{B0D48A63-9167-4128-A6A2-F74392BD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1</cp:revision>
  <dcterms:created xsi:type="dcterms:W3CDTF">2026-09-18T13:47:00Z</dcterms:created>
  <dcterms:modified xsi:type="dcterms:W3CDTF">2026-09-18T23:05:00Z</dcterms:modified>
</cp:coreProperties>
</file>