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55F0" w14:textId="7D024914" w:rsidR="008D12AA" w:rsidRDefault="00294958">
      <w:pPr>
        <w:pBdr>
          <w:bottom w:val="single" w:sz="24" w:space="1" w:color="000000"/>
        </w:pBdr>
        <w:spacing w:after="0"/>
        <w:jc w:val="center"/>
        <w:rPr>
          <w:rFonts w:ascii="Book Antiqua" w:eastAsia="Book Antiqua" w:hAnsi="Book Antiqua" w:cs="Book Antiqua"/>
          <w:b/>
          <w:i/>
          <w:sz w:val="20"/>
          <w:szCs w:val="20"/>
        </w:rPr>
      </w:pPr>
      <w:r>
        <w:rPr>
          <w:rFonts w:ascii="Book Antiqua" w:eastAsia="Book Antiqua" w:hAnsi="Book Antiqua" w:cs="Book Antiqua"/>
          <w:b/>
          <w:smallCaps/>
          <w:sz w:val="28"/>
          <w:szCs w:val="28"/>
        </w:rPr>
        <w:t>Candidate ABS</w:t>
      </w:r>
    </w:p>
    <w:p w14:paraId="45E2927B" w14:textId="77777777" w:rsidR="008D12AA" w:rsidRDefault="008D12AA">
      <w:pPr>
        <w:spacing w:after="0"/>
        <w:rPr>
          <w:rFonts w:ascii="Book Antiqua" w:eastAsia="Book Antiqua" w:hAnsi="Book Antiqua" w:cs="Book Antiqua"/>
          <w:i/>
          <w:sz w:val="10"/>
          <w:szCs w:val="10"/>
        </w:rPr>
      </w:pPr>
    </w:p>
    <w:p w14:paraId="5BA11E96" w14:textId="77777777" w:rsidR="008D12AA" w:rsidRDefault="008D12AA">
      <w:pPr>
        <w:spacing w:after="0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4F1F3DED" w14:textId="77777777" w:rsidR="008D12AA" w:rsidRDefault="00294958">
      <w:pPr>
        <w:spacing w:after="0"/>
        <w:jc w:val="center"/>
        <w:rPr>
          <w:rFonts w:ascii="Book Antiqua" w:eastAsia="Book Antiqua" w:hAnsi="Book Antiqua" w:cs="Book Antiqua"/>
          <w:b/>
          <w:smallCaps/>
          <w:sz w:val="22"/>
          <w:szCs w:val="22"/>
        </w:rPr>
      </w:pPr>
      <w:r>
        <w:rPr>
          <w:rFonts w:ascii="Book Antiqua" w:eastAsia="Book Antiqua" w:hAnsi="Book Antiqua" w:cs="Book Antiqua"/>
          <w:b/>
          <w:smallCaps/>
          <w:sz w:val="22"/>
          <w:szCs w:val="22"/>
        </w:rPr>
        <w:t>EDUCATION</w:t>
      </w:r>
    </w:p>
    <w:p w14:paraId="7C979A57" w14:textId="77777777" w:rsidR="008D12AA" w:rsidRDefault="008D12AA">
      <w:pPr>
        <w:keepLines/>
        <w:spacing w:after="0" w:line="120" w:lineRule="auto"/>
        <w:jc w:val="center"/>
        <w:rPr>
          <w:rFonts w:ascii="Book Antiqua" w:eastAsia="Book Antiqua" w:hAnsi="Book Antiqua" w:cs="Book Antiqua"/>
          <w:b/>
          <w:smallCaps/>
        </w:rPr>
      </w:pPr>
    </w:p>
    <w:p w14:paraId="5F08F55D" w14:textId="77777777" w:rsidR="008D12AA" w:rsidRDefault="00294958">
      <w:pPr>
        <w:spacing w:after="0"/>
        <w:jc w:val="center"/>
        <w:rPr>
          <w:rFonts w:ascii="Book Antiqua" w:eastAsia="Book Antiqua" w:hAnsi="Book Antiqua" w:cs="Book Antiqua"/>
          <w:b/>
          <w:sz w:val="20"/>
          <w:szCs w:val="20"/>
        </w:rPr>
      </w:pPr>
      <w:bookmarkStart w:id="0" w:name="_heading=h.30j0zll" w:colFirst="0" w:colLast="0"/>
      <w:bookmarkEnd w:id="0"/>
      <w:r>
        <w:rPr>
          <w:rFonts w:ascii="Book Antiqua" w:eastAsia="Book Antiqua" w:hAnsi="Book Antiqua" w:cs="Book Antiqua"/>
          <w:b/>
          <w:sz w:val="20"/>
          <w:szCs w:val="20"/>
        </w:rPr>
        <w:t xml:space="preserve">Fairleigh Dickinson University </w:t>
      </w:r>
    </w:p>
    <w:p w14:paraId="75B9D111" w14:textId="77777777" w:rsidR="008D12AA" w:rsidRDefault="00294958">
      <w:pPr>
        <w:spacing w:after="0"/>
        <w:jc w:val="center"/>
        <w:rPr>
          <w:rFonts w:ascii="Book Antiqua" w:eastAsia="Book Antiqua" w:hAnsi="Book Antiqua" w:cs="Book Antiqua"/>
          <w:b/>
          <w:i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Bachelor of Arts - Psychology</w:t>
      </w:r>
      <w:r>
        <w:rPr>
          <w:rFonts w:ascii="Book Antiqua" w:eastAsia="Book Antiqua" w:hAnsi="Book Antiqua" w:cs="Book Antiqua"/>
          <w:b/>
          <w:smallCaps/>
          <w:sz w:val="20"/>
          <w:szCs w:val="20"/>
        </w:rPr>
        <w:t xml:space="preserve">, </w:t>
      </w:r>
      <w:r>
        <w:rPr>
          <w:rFonts w:ascii="Book Antiqua" w:eastAsia="Book Antiqua" w:hAnsi="Book Antiqua" w:cs="Book Antiqua"/>
          <w:sz w:val="20"/>
          <w:szCs w:val="20"/>
        </w:rPr>
        <w:t>Madison, NJ, B.A. Jan 2017; (GPA 3.96/4.0 in major)</w:t>
      </w:r>
    </w:p>
    <w:p w14:paraId="749662AC" w14:textId="77777777" w:rsidR="008D12AA" w:rsidRDefault="008D12AA">
      <w:pPr>
        <w:pBdr>
          <w:bottom w:val="single" w:sz="24" w:space="1" w:color="000000"/>
        </w:pBdr>
        <w:spacing w:after="0"/>
        <w:jc w:val="center"/>
        <w:rPr>
          <w:rFonts w:ascii="Book Antiqua" w:eastAsia="Book Antiqua" w:hAnsi="Book Antiqua" w:cs="Book Antiqua"/>
          <w:i/>
          <w:sz w:val="8"/>
          <w:szCs w:val="8"/>
        </w:rPr>
      </w:pPr>
    </w:p>
    <w:p w14:paraId="48545718" w14:textId="77777777" w:rsidR="008D12AA" w:rsidRDefault="008D12AA">
      <w:pPr>
        <w:spacing w:after="120" w:line="192" w:lineRule="auto"/>
        <w:jc w:val="center"/>
        <w:rPr>
          <w:rFonts w:ascii="Book Antiqua" w:eastAsia="Book Antiqua" w:hAnsi="Book Antiqua" w:cs="Book Antiqua"/>
          <w:b/>
          <w:sz w:val="2"/>
          <w:szCs w:val="2"/>
        </w:rPr>
      </w:pPr>
    </w:p>
    <w:p w14:paraId="669E223C" w14:textId="77777777" w:rsidR="008D12AA" w:rsidRDefault="00294958">
      <w:pPr>
        <w:spacing w:after="120" w:line="192" w:lineRule="auto"/>
        <w:jc w:val="center"/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EXPERIENCE</w:t>
      </w:r>
    </w:p>
    <w:p w14:paraId="5B9454ED" w14:textId="77777777" w:rsidR="008D12AA" w:rsidRDefault="00294958">
      <w:pP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Anywhere Real Estate Inc.</w:t>
      </w:r>
      <w:r>
        <w:rPr>
          <w:rFonts w:ascii="Book Antiqua" w:eastAsia="Book Antiqua" w:hAnsi="Book Antiqua" w:cs="Book Antiqua"/>
          <w:sz w:val="20"/>
          <w:szCs w:val="20"/>
        </w:rPr>
        <w:t>, Madison, NJ, Jan 2023-Current</w:t>
      </w:r>
    </w:p>
    <w:p w14:paraId="648AEEF9" w14:textId="77777777" w:rsidR="008D12AA" w:rsidRDefault="00294958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Senior Product Manager</w:t>
      </w:r>
    </w:p>
    <w:p w14:paraId="40FEAF5B" w14:textId="77777777" w:rsidR="008D12AA" w:rsidRDefault="008D12AA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</w:p>
    <w:p w14:paraId="059A1B4A" w14:textId="77777777" w:rsidR="008D12AA" w:rsidRDefault="00294958">
      <w:pP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Anywhere Real Estate Inc.</w:t>
      </w:r>
      <w:r>
        <w:rPr>
          <w:rFonts w:ascii="Book Antiqua" w:eastAsia="Book Antiqua" w:hAnsi="Book Antiqua" w:cs="Book Antiqua"/>
          <w:sz w:val="20"/>
          <w:szCs w:val="20"/>
        </w:rPr>
        <w:t>, Madison, NJ, May 2022-Jan 2023</w:t>
      </w:r>
    </w:p>
    <w:p w14:paraId="0415A893" w14:textId="77777777" w:rsidR="008D12AA" w:rsidRDefault="00294958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Technical Product Manager</w:t>
      </w:r>
    </w:p>
    <w:p w14:paraId="4DF0B5D7" w14:textId="77777777" w:rsidR="008D12AA" w:rsidRDefault="008D12AA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</w:p>
    <w:p w14:paraId="267CD9EA" w14:textId="77777777" w:rsidR="008D12AA" w:rsidRDefault="00294958">
      <w:pP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Responsible for overseein</w:t>
      </w:r>
      <w:r>
        <w:rPr>
          <w:rFonts w:ascii="Book Antiqua" w:eastAsia="Book Antiqua" w:hAnsi="Book Antiqua" w:cs="Book Antiqua"/>
          <w:sz w:val="20"/>
          <w:szCs w:val="20"/>
        </w:rPr>
        <w:t xml:space="preserve">g a group of six SaaS products in various product lifecycle stages,  encompassing six prominent real estate brands. Worked cross-functionally with multiple development teams in an agile environment. </w:t>
      </w:r>
    </w:p>
    <w:p w14:paraId="1EC0B390" w14:textId="77777777" w:rsidR="008D12AA" w:rsidRDefault="008D12AA">
      <w:pPr>
        <w:spacing w:after="0"/>
        <w:rPr>
          <w:rFonts w:ascii="Book Antiqua" w:eastAsia="Book Antiqua" w:hAnsi="Book Antiqua" w:cs="Book Antiqua"/>
          <w:sz w:val="20"/>
          <w:szCs w:val="20"/>
        </w:rPr>
      </w:pPr>
    </w:p>
    <w:p w14:paraId="61B54EB6" w14:textId="77777777" w:rsidR="008D12AA" w:rsidRDefault="00294958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Key Accomplishments:</w:t>
      </w:r>
    </w:p>
    <w:p w14:paraId="03998D30" w14:textId="77777777" w:rsidR="008D12AA" w:rsidRDefault="00294958">
      <w:pPr>
        <w:numPr>
          <w:ilvl w:val="0"/>
          <w:numId w:val="1"/>
        </w:numP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Collaborated with the development </w:t>
      </w:r>
      <w:r>
        <w:rPr>
          <w:rFonts w:ascii="Book Antiqua" w:eastAsia="Book Antiqua" w:hAnsi="Book Antiqua" w:cs="Book Antiqua"/>
          <w:sz w:val="20"/>
          <w:szCs w:val="20"/>
        </w:rPr>
        <w:t>team to integrate customer tracking analytics tools, with an average NPS score of 33.</w:t>
      </w:r>
    </w:p>
    <w:p w14:paraId="34CA2196" w14:textId="77777777" w:rsidR="008D12AA" w:rsidRDefault="00294958">
      <w:pPr>
        <w:numPr>
          <w:ilvl w:val="0"/>
          <w:numId w:val="1"/>
        </w:numP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Worked with the development team to implement automation, saving approximately 7 hours for each production release.</w:t>
      </w:r>
    </w:p>
    <w:p w14:paraId="49774558" w14:textId="77777777" w:rsidR="008D12AA" w:rsidRDefault="00294958">
      <w:pPr>
        <w:numPr>
          <w:ilvl w:val="0"/>
          <w:numId w:val="1"/>
        </w:numP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Performed market research and competitive analysis thr</w:t>
      </w:r>
      <w:r>
        <w:rPr>
          <w:rFonts w:ascii="Book Antiqua" w:eastAsia="Book Antiqua" w:hAnsi="Book Antiqua" w:cs="Book Antiqua"/>
          <w:sz w:val="20"/>
          <w:szCs w:val="20"/>
        </w:rPr>
        <w:t>ough surveys and user interviews to identify product opportunities and deliver enhancements to products.</w:t>
      </w:r>
    </w:p>
    <w:p w14:paraId="7FAC103D" w14:textId="77777777" w:rsidR="008D12AA" w:rsidRDefault="008D12AA">
      <w:pPr>
        <w:spacing w:after="0"/>
        <w:ind w:left="720"/>
        <w:rPr>
          <w:rFonts w:ascii="Book Antiqua" w:eastAsia="Book Antiqua" w:hAnsi="Book Antiqua" w:cs="Book Antiqua"/>
          <w:sz w:val="20"/>
          <w:szCs w:val="20"/>
        </w:rPr>
      </w:pPr>
    </w:p>
    <w:p w14:paraId="06F7FB1C" w14:textId="77777777" w:rsidR="008D12AA" w:rsidRDefault="008D12AA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</w:p>
    <w:p w14:paraId="726919E4" w14:textId="77777777" w:rsidR="008D12AA" w:rsidRDefault="00294958">
      <w:pP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Sotheby’s International Realty Affiliates LLC</w:t>
      </w:r>
      <w:r>
        <w:rPr>
          <w:rFonts w:ascii="Book Antiqua" w:eastAsia="Book Antiqua" w:hAnsi="Book Antiqua" w:cs="Book Antiqua"/>
          <w:sz w:val="20"/>
          <w:szCs w:val="20"/>
        </w:rPr>
        <w:t>, Madison, NJ, January 2020-May 2022</w:t>
      </w:r>
    </w:p>
    <w:p w14:paraId="45132CEC" w14:textId="77777777" w:rsidR="008D12AA" w:rsidRDefault="00294958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Interactive Marketing Specialist, March 2022-May 2022</w:t>
      </w:r>
    </w:p>
    <w:p w14:paraId="0BAF458F" w14:textId="77777777" w:rsidR="008D12AA" w:rsidRDefault="00294958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Interactive Marketing Coordinator, January 2020-March 2022</w:t>
      </w:r>
    </w:p>
    <w:p w14:paraId="5E0C4109" w14:textId="77777777" w:rsidR="008D12AA" w:rsidRDefault="008D12AA">
      <w:pPr>
        <w:spacing w:after="0"/>
        <w:rPr>
          <w:rFonts w:ascii="Book Antiqua" w:eastAsia="Book Antiqua" w:hAnsi="Book Antiqua" w:cs="Book Antiqua"/>
          <w:b/>
          <w:sz w:val="20"/>
          <w:szCs w:val="20"/>
        </w:rPr>
      </w:pPr>
    </w:p>
    <w:p w14:paraId="1727D80E" w14:textId="77777777" w:rsidR="008D12AA" w:rsidRDefault="00294958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Brand Product Owner for the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ListSync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syndication management application and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ListTrac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analytics reporting suite. Worked cross-functionally with a development team in an agile environment. Presented to the Sotheby’s International Realty affiliate network on </w:t>
      </w:r>
      <w:r>
        <w:rPr>
          <w:rFonts w:ascii="Book Antiqua" w:eastAsia="Book Antiqua" w:hAnsi="Book Antiqua" w:cs="Book Antiqua"/>
          <w:sz w:val="20"/>
          <w:szCs w:val="20"/>
        </w:rPr>
        <w:t>updates to syndication initiatives and product updates. Subject matter expert on all REST APIs, encompassing API enhancements and data integrations for all Sotheby’s International Realty vendors.</w:t>
      </w:r>
    </w:p>
    <w:p w14:paraId="6E984622" w14:textId="77777777" w:rsidR="008D12AA" w:rsidRDefault="00294958">
      <w:pPr>
        <w:spacing w:after="0" w:line="276" w:lineRule="auto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Key Accomplishments:</w:t>
      </w:r>
    </w:p>
    <w:p w14:paraId="62C77744" w14:textId="77777777" w:rsidR="008D12AA" w:rsidRDefault="00294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Enhanced </w:t>
      </w:r>
      <w:r>
        <w:rPr>
          <w:rFonts w:ascii="Book Antiqua" w:eastAsia="Book Antiqua" w:hAnsi="Book Antiqua" w:cs="Book Antiqua"/>
          <w:sz w:val="20"/>
          <w:szCs w:val="20"/>
        </w:rPr>
        <w:t>dash API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, resulting in</w:t>
      </w:r>
      <w:r>
        <w:rPr>
          <w:rFonts w:ascii="Book Antiqua" w:eastAsia="Book Antiqua" w:hAnsi="Book Antiqua" w:cs="Book Antiqua"/>
          <w:sz w:val="20"/>
          <w:szCs w:val="20"/>
        </w:rPr>
        <w:t xml:space="preserve"> an 11% </w:t>
      </w:r>
      <w:r>
        <w:rPr>
          <w:rFonts w:ascii="Book Antiqua" w:eastAsia="Book Antiqua" w:hAnsi="Book Antiqua" w:cs="Book Antiqua"/>
          <w:sz w:val="20"/>
          <w:szCs w:val="20"/>
        </w:rPr>
        <w:t>increase in media exposure opportunities for Sotheby’s International Realty affiliates.</w:t>
      </w:r>
    </w:p>
    <w:p w14:paraId="193761B8" w14:textId="77777777" w:rsidR="008D12AA" w:rsidRDefault="00294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Implemented redesigned UI for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ListSync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syndication management application, resulting in a modernized appearance and enhanced performance for Sotheby’s International Rea</w:t>
      </w:r>
      <w:r>
        <w:rPr>
          <w:rFonts w:ascii="Book Antiqua" w:eastAsia="Book Antiqua" w:hAnsi="Book Antiqua" w:cs="Book Antiqua"/>
          <w:sz w:val="20"/>
          <w:szCs w:val="20"/>
        </w:rPr>
        <w:t>lty affiliates.</w:t>
      </w:r>
    </w:p>
    <w:p w14:paraId="7CAC868A" w14:textId="77777777" w:rsidR="008D12AA" w:rsidRDefault="00294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Improved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ListSync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syndication management application with a brand photo resolution requirement, resulting in a 10% reduction in 404 pages to sothebysrealty.com via redirect links from syndication websites.</w:t>
      </w:r>
    </w:p>
    <w:p w14:paraId="01B24CE7" w14:textId="77777777" w:rsidR="008D12AA" w:rsidRDefault="008D12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ook Antiqua" w:eastAsia="Book Antiqua" w:hAnsi="Book Antiqua" w:cs="Book Antiqua"/>
          <w:sz w:val="20"/>
          <w:szCs w:val="20"/>
        </w:rPr>
      </w:pPr>
    </w:p>
    <w:p w14:paraId="303CFBA2" w14:textId="77777777" w:rsidR="008D12AA" w:rsidRDefault="008D12AA">
      <w:pPr>
        <w:spacing w:after="120"/>
        <w:rPr>
          <w:rFonts w:ascii="Book Antiqua" w:eastAsia="Book Antiqua" w:hAnsi="Book Antiqua" w:cs="Book Antiqua"/>
          <w:sz w:val="20"/>
          <w:szCs w:val="20"/>
        </w:rPr>
      </w:pPr>
    </w:p>
    <w:sectPr w:rsidR="008D12AA"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CF6"/>
    <w:multiLevelType w:val="multilevel"/>
    <w:tmpl w:val="2520C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AF45C2"/>
    <w:multiLevelType w:val="multilevel"/>
    <w:tmpl w:val="C2CC9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24359521">
    <w:abstractNumId w:val="0"/>
  </w:num>
  <w:num w:numId="2" w16cid:durableId="20980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2AA"/>
    <w:rsid w:val="00294958"/>
    <w:rsid w:val="008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3068"/>
  <w15:docId w15:val="{AC0159E9-C8F3-4ABC-9ED2-85DF8A52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paragraph" w:customStyle="1" w:styleId="p1">
    <w:name w:val="p1"/>
    <w:basedOn w:val="Normal"/>
    <w:rsid w:val="005F64B5"/>
    <w:pPr>
      <w:spacing w:after="0"/>
    </w:pPr>
    <w:rPr>
      <w:rFonts w:ascii="Book Antiqua" w:eastAsiaTheme="minorEastAsia" w:hAnsi="Book Antiqua" w:cs="Times New Roman"/>
      <w:color w:val="000000"/>
      <w:sz w:val="15"/>
      <w:szCs w:val="15"/>
    </w:rPr>
  </w:style>
  <w:style w:type="paragraph" w:customStyle="1" w:styleId="p2">
    <w:name w:val="p2"/>
    <w:basedOn w:val="Normal"/>
    <w:rsid w:val="005F64B5"/>
    <w:pPr>
      <w:spacing w:after="0"/>
    </w:pPr>
    <w:rPr>
      <w:rFonts w:ascii="Book Antiqua" w:eastAsiaTheme="minorEastAsia" w:hAnsi="Book Antiqua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5F64B5"/>
    <w:rPr>
      <w:rFonts w:ascii="Book Antiqua" w:hAnsi="Book Antiqua" w:hint="default"/>
      <w:b/>
      <w:bCs/>
      <w:i w:val="0"/>
      <w:iCs w:val="0"/>
      <w:sz w:val="15"/>
      <w:szCs w:val="15"/>
    </w:rPr>
  </w:style>
  <w:style w:type="character" w:customStyle="1" w:styleId="s3">
    <w:name w:val="s3"/>
    <w:basedOn w:val="DefaultParagraphFont"/>
    <w:rsid w:val="005F64B5"/>
    <w:rPr>
      <w:rFonts w:ascii="Book Antiqua" w:hAnsi="Book Antiqua" w:hint="default"/>
      <w:b w:val="0"/>
      <w:bCs w:val="0"/>
      <w:i w:val="0"/>
      <w:iCs w:val="0"/>
      <w:sz w:val="15"/>
      <w:szCs w:val="15"/>
    </w:rPr>
  </w:style>
  <w:style w:type="paragraph" w:customStyle="1" w:styleId="li1">
    <w:name w:val="li1"/>
    <w:basedOn w:val="Normal"/>
    <w:rsid w:val="005F64B5"/>
    <w:pPr>
      <w:spacing w:after="0"/>
    </w:pPr>
    <w:rPr>
      <w:rFonts w:ascii="Book Antiqua" w:eastAsiaTheme="minorEastAsia" w:hAnsi="Book Antiqua" w:cs="Times New Roman"/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5F64B5"/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RU05yH7pyEPb443YOmfD5WUiNA==">CgMxLjAyCGguZ2pkZ3hzMgloLjMwajB6bGw4AHIhMWttQ1BtdE1zSUVIVUhUV01ZYUljMmI4M0FYVy1wcXk1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Vadeiko</cp:lastModifiedBy>
  <cp:revision>1</cp:revision>
  <dcterms:created xsi:type="dcterms:W3CDTF">2021-11-18T01:49:00Z</dcterms:created>
  <dcterms:modified xsi:type="dcterms:W3CDTF">2024-01-23T19:09:00Z</dcterms:modified>
</cp:coreProperties>
</file>