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1EAAF">
      <w:pPr>
        <w:jc w:val="center"/>
      </w:pP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u w:val="single"/>
        </w:rPr>
        <w:t xml:space="preserve">                            </w:t>
      </w:r>
      <w:r>
        <w:rPr>
          <w:rFonts w:hint="eastAsia"/>
        </w:rPr>
        <w:t>（院系/部门填写并盖章）拟处置报废资产汇总及鉴定意见表模版</w:t>
      </w:r>
    </w:p>
    <w:p w14:paraId="61F28410">
      <w:pPr>
        <w:rPr>
          <w:rFonts w:asciiTheme="minorEastAsia" w:hAnsiTheme="minorEastAsia"/>
        </w:rPr>
      </w:pPr>
    </w:p>
    <w:p w14:paraId="1D57CA2F">
      <w:r>
        <w:rPr>
          <w:rFonts w:hint="eastAsia" w:asciiTheme="minorEastAsia" w:hAnsiTheme="minorEastAsia"/>
        </w:rPr>
        <w:t>★</w:t>
      </w:r>
      <w:r>
        <w:rPr>
          <w:rFonts w:hint="eastAsia"/>
        </w:rPr>
        <w:t xml:space="preserve"> 暂不纳入拟报废处置情况提示：</w:t>
      </w:r>
    </w:p>
    <w:p w14:paraId="1AC03B2C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未达到</w:t>
      </w:r>
      <w:r>
        <w:rPr>
          <w:rFonts w:hint="eastAsia"/>
          <w:lang w:val="en-US" w:eastAsia="zh-CN"/>
        </w:rPr>
        <w:t>最低</w:t>
      </w:r>
      <w:r>
        <w:rPr>
          <w:rFonts w:hint="eastAsia"/>
        </w:rPr>
        <w:t>使用年限标准的资产；</w:t>
      </w:r>
    </w:p>
    <w:p w14:paraId="0AE38BF8">
      <w:r>
        <w:t xml:space="preserve">2. </w:t>
      </w:r>
      <w:r>
        <w:rPr>
          <w:rFonts w:hint="eastAsia"/>
        </w:rPr>
        <w:t>已达到使用年限仍可以继续使用资产；</w:t>
      </w:r>
    </w:p>
    <w:p w14:paraId="5B4B444D">
      <w:r>
        <w:t>3.</w:t>
      </w:r>
      <w:r>
        <w:rPr>
          <w:rFonts w:hint="eastAsia"/>
        </w:rPr>
        <w:t xml:space="preserve"> 已达到使用年限仍可以展示使用资产；</w:t>
      </w:r>
    </w:p>
    <w:p w14:paraId="10090C21">
      <w:r>
        <w:t xml:space="preserve">4. </w:t>
      </w:r>
      <w:r>
        <w:rPr>
          <w:rFonts w:hint="eastAsia"/>
        </w:rPr>
        <w:t>已达到使用年限仍可以维修后继续使用资产；</w:t>
      </w:r>
    </w:p>
    <w:p w14:paraId="604EE418">
      <w:pPr>
        <w:rPr>
          <w:rFonts w:hint="eastAsia" w:eastAsiaTheme="minorEastAsia"/>
          <w:lang w:eastAsia="zh-CN"/>
        </w:rPr>
      </w:pPr>
      <w:r>
        <w:t xml:space="preserve">5. </w:t>
      </w:r>
      <w:r>
        <w:rPr>
          <w:rFonts w:hint="eastAsia"/>
        </w:rPr>
        <w:t>资产系统中未上传实物照片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未规范存放地点等</w:t>
      </w:r>
      <w:r>
        <w:rPr>
          <w:rFonts w:hint="eastAsia"/>
        </w:rPr>
        <w:t>卡片信息不完整资产</w:t>
      </w:r>
      <w:r>
        <w:rPr>
          <w:rFonts w:hint="eastAsia"/>
          <w:lang w:eastAsia="zh-CN"/>
        </w:rPr>
        <w:t>。</w:t>
      </w:r>
    </w:p>
    <w:p w14:paraId="3142EAAC"/>
    <w:p w14:paraId="4F201DE2">
      <w:r>
        <w:rPr>
          <w:rFonts w:hint="eastAsia" w:asciiTheme="minorEastAsia" w:hAnsiTheme="minorEastAsia"/>
        </w:rPr>
        <w:t>★</w:t>
      </w:r>
      <w:r>
        <w:rPr>
          <w:rFonts w:hint="eastAsia"/>
        </w:rPr>
        <w:t>填报说明：</w:t>
      </w:r>
    </w:p>
    <w:p w14:paraId="2C303701">
      <w:r>
        <w:rPr>
          <w:rFonts w:hint="eastAsia"/>
        </w:rPr>
        <w:t>1</w:t>
      </w:r>
      <w:r>
        <w:t xml:space="preserve">. </w:t>
      </w:r>
      <w:r>
        <w:rPr>
          <w:rFonts w:hint="eastAsia"/>
          <w:highlight w:val="yellow"/>
        </w:rPr>
        <w:t>鉴定小组成员</w:t>
      </w:r>
    </w:p>
    <w:p w14:paraId="2D7054BB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专用设备及空调、电梯、汽车、房屋等资产报废，应由具备相应资质专业人员或第三方专业鉴定机构出具鉴定报告；</w:t>
      </w:r>
    </w:p>
    <w:p w14:paraId="5B1B7ACA">
      <w:r>
        <w:t xml:space="preserve">3. </w:t>
      </w:r>
      <w:r>
        <w:rPr>
          <w:rFonts w:hint="eastAsia"/>
        </w:rPr>
        <w:t>专利、非专利技术、著作权、资源资质等无形资产因被其他新技术代替或已超过法律保护期限、丧失使用价值和转让价值的，需提供技术部门鉴定材料或已超过法律保护期限的证明文件。</w:t>
      </w:r>
    </w:p>
    <w:p w14:paraId="1BAB1DB2">
      <w:pPr>
        <w:rPr>
          <w:rFonts w:asciiTheme="minorEastAsia" w:hAnsiTheme="minorEastAsia"/>
        </w:rPr>
      </w:pPr>
    </w:p>
    <w:p w14:paraId="631E186F">
      <w:r>
        <w:rPr>
          <w:rFonts w:hint="eastAsia" w:asciiTheme="minorEastAsia" w:hAnsiTheme="minorEastAsia"/>
        </w:rPr>
        <w:t>★</w:t>
      </w:r>
      <w:r>
        <w:rPr>
          <w:rFonts w:hint="eastAsia"/>
        </w:rPr>
        <w:t>报废原因类型：</w:t>
      </w:r>
    </w:p>
    <w:p w14:paraId="0D63932C">
      <w:r>
        <w:t xml:space="preserve">A. </w:t>
      </w:r>
      <w:r>
        <w:rPr>
          <w:rFonts w:hint="eastAsia"/>
        </w:rPr>
        <w:t>已超过报废年限且无法继续使用的资产或者能耗大、效率低，属于国家公布淘汰资产；</w:t>
      </w:r>
    </w:p>
    <w:p w14:paraId="4E461BF2"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>技术迭代更新后技术指标达不到教学、科研工作需要且无法重复利用资产；</w:t>
      </w:r>
    </w:p>
    <w:p w14:paraId="3277C9EB">
      <w:r>
        <w:rPr>
          <w:rFonts w:hint="eastAsia"/>
        </w:rPr>
        <w:t>C.</w:t>
      </w:r>
      <w:r>
        <w:t xml:space="preserve"> </w:t>
      </w:r>
      <w:r>
        <w:rPr>
          <w:rFonts w:hint="eastAsia"/>
        </w:rPr>
        <w:t>经专门组织鉴定已无法修复资产；</w:t>
      </w:r>
    </w:p>
    <w:p w14:paraId="1BC060A8">
      <w:r>
        <w:rPr>
          <w:rFonts w:hint="eastAsia"/>
        </w:rPr>
        <w:t>D.</w:t>
      </w:r>
      <w:r>
        <w:t xml:space="preserve"> </w:t>
      </w:r>
      <w:r>
        <w:rPr>
          <w:rFonts w:hint="eastAsia"/>
        </w:rPr>
        <w:t>维修价值过高，维修费用接近同品类新产品价格，无修复价值的资产；</w:t>
      </w:r>
    </w:p>
    <w:p w14:paraId="5A4BB5D5">
      <w:r>
        <w:rPr>
          <w:rFonts w:hint="eastAsia"/>
        </w:rPr>
        <w:t>E</w:t>
      </w:r>
      <w:r>
        <w:t>. 资产已符合报废条件</w:t>
      </w:r>
      <w:r>
        <w:rPr>
          <w:rFonts w:hint="eastAsia"/>
        </w:rPr>
        <w:t>，经学校“三重一大“会议”审议批准拟报废处置资产。</w:t>
      </w:r>
    </w:p>
    <w:p w14:paraId="3DD43DA7"/>
    <w:tbl>
      <w:tblPr>
        <w:tblStyle w:val="4"/>
        <w:tblW w:w="14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544"/>
        <w:gridCol w:w="1116"/>
        <w:gridCol w:w="1116"/>
        <w:gridCol w:w="1116"/>
        <w:gridCol w:w="954"/>
        <w:gridCol w:w="1278"/>
        <w:gridCol w:w="1116"/>
        <w:gridCol w:w="1117"/>
        <w:gridCol w:w="1009"/>
        <w:gridCol w:w="992"/>
        <w:gridCol w:w="1439"/>
        <w:gridCol w:w="1077"/>
      </w:tblGrid>
      <w:tr w14:paraId="6344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7968C4D9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44" w:type="dxa"/>
            <w:vAlign w:val="center"/>
          </w:tcPr>
          <w:p w14:paraId="5B025A8A">
            <w:pPr>
              <w:jc w:val="center"/>
            </w:pPr>
            <w:r>
              <w:rPr>
                <w:rFonts w:hint="eastAsia"/>
              </w:rPr>
              <w:t>资产编号</w:t>
            </w:r>
          </w:p>
        </w:tc>
        <w:tc>
          <w:tcPr>
            <w:tcW w:w="1116" w:type="dxa"/>
            <w:vAlign w:val="center"/>
          </w:tcPr>
          <w:p w14:paraId="071EBFF5">
            <w:pPr>
              <w:jc w:val="center"/>
            </w:pPr>
            <w:r>
              <w:rPr>
                <w:rFonts w:hint="eastAsia"/>
              </w:rPr>
              <w:t>资产名称</w:t>
            </w:r>
          </w:p>
        </w:tc>
        <w:tc>
          <w:tcPr>
            <w:tcW w:w="1116" w:type="dxa"/>
            <w:vAlign w:val="center"/>
          </w:tcPr>
          <w:p w14:paraId="3897BA39">
            <w:pPr>
              <w:jc w:val="center"/>
            </w:pPr>
            <w:r>
              <w:rPr>
                <w:rFonts w:hint="eastAsia"/>
              </w:rPr>
              <w:t>规格型号</w:t>
            </w:r>
          </w:p>
        </w:tc>
        <w:tc>
          <w:tcPr>
            <w:tcW w:w="1116" w:type="dxa"/>
            <w:vAlign w:val="center"/>
          </w:tcPr>
          <w:p w14:paraId="68AE9B44">
            <w:pPr>
              <w:jc w:val="center"/>
            </w:pPr>
            <w:r>
              <w:rPr>
                <w:rFonts w:hint="eastAsia"/>
                <w:kern w:val="0"/>
              </w:rPr>
              <w:t>单价</w:t>
            </w:r>
          </w:p>
        </w:tc>
        <w:tc>
          <w:tcPr>
            <w:tcW w:w="954" w:type="dxa"/>
            <w:vAlign w:val="center"/>
          </w:tcPr>
          <w:p w14:paraId="6686E415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278" w:type="dxa"/>
            <w:vAlign w:val="center"/>
          </w:tcPr>
          <w:p w14:paraId="7504E734">
            <w:pPr>
              <w:jc w:val="center"/>
            </w:pPr>
            <w:r>
              <w:rPr>
                <w:rFonts w:hint="eastAsia"/>
              </w:rPr>
              <w:t>总金额</w:t>
            </w:r>
          </w:p>
        </w:tc>
        <w:tc>
          <w:tcPr>
            <w:tcW w:w="1116" w:type="dxa"/>
            <w:vAlign w:val="center"/>
          </w:tcPr>
          <w:p w14:paraId="7C31C7CB">
            <w:pPr>
              <w:jc w:val="center"/>
            </w:pPr>
            <w:r>
              <w:rPr>
                <w:rFonts w:hint="eastAsia"/>
              </w:rPr>
              <w:t>领用人</w:t>
            </w:r>
          </w:p>
        </w:tc>
        <w:tc>
          <w:tcPr>
            <w:tcW w:w="1117" w:type="dxa"/>
            <w:vAlign w:val="center"/>
          </w:tcPr>
          <w:p w14:paraId="7F266FA8">
            <w:pPr>
              <w:jc w:val="center"/>
            </w:pPr>
            <w:r>
              <w:rPr>
                <w:rFonts w:hint="eastAsia"/>
              </w:rPr>
              <w:t>购置日期</w:t>
            </w:r>
          </w:p>
        </w:tc>
        <w:tc>
          <w:tcPr>
            <w:tcW w:w="1009" w:type="dxa"/>
            <w:vAlign w:val="center"/>
          </w:tcPr>
          <w:p w14:paraId="49DC4918">
            <w:pPr>
              <w:jc w:val="center"/>
            </w:pPr>
            <w:r>
              <w:rPr>
                <w:rFonts w:hint="eastAsia"/>
                <w:kern w:val="0"/>
              </w:rPr>
              <w:t>已使用年限</w:t>
            </w:r>
          </w:p>
        </w:tc>
        <w:tc>
          <w:tcPr>
            <w:tcW w:w="992" w:type="dxa"/>
            <w:vAlign w:val="center"/>
          </w:tcPr>
          <w:p w14:paraId="28780924">
            <w:pPr>
              <w:jc w:val="center"/>
            </w:pPr>
            <w:r>
              <w:rPr>
                <w:rFonts w:hint="eastAsia"/>
                <w:kern w:val="0"/>
              </w:rPr>
              <w:t>报废原因（单选）</w:t>
            </w:r>
          </w:p>
        </w:tc>
        <w:tc>
          <w:tcPr>
            <w:tcW w:w="1439" w:type="dxa"/>
            <w:vAlign w:val="center"/>
          </w:tcPr>
          <w:p w14:paraId="585E3761">
            <w:pPr>
              <w:jc w:val="center"/>
            </w:pPr>
            <w:r>
              <w:rPr>
                <w:rFonts w:hint="eastAsia"/>
              </w:rPr>
              <w:t>已损坏部件或技术指标不达标部件清单</w:t>
            </w:r>
          </w:p>
        </w:tc>
        <w:tc>
          <w:tcPr>
            <w:tcW w:w="1077" w:type="dxa"/>
          </w:tcPr>
          <w:p w14:paraId="03D31E95">
            <w:pPr>
              <w:jc w:val="center"/>
            </w:pPr>
            <w:r>
              <w:rPr>
                <w:rFonts w:hint="eastAsia"/>
              </w:rPr>
              <w:t>维修所需配件询价情况</w:t>
            </w:r>
          </w:p>
        </w:tc>
      </w:tr>
      <w:tr w14:paraId="6C8E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93852D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44" w:type="dxa"/>
          </w:tcPr>
          <w:p w14:paraId="7AD409DF"/>
        </w:tc>
        <w:tc>
          <w:tcPr>
            <w:tcW w:w="1116" w:type="dxa"/>
          </w:tcPr>
          <w:p w14:paraId="2D79F984"/>
        </w:tc>
        <w:tc>
          <w:tcPr>
            <w:tcW w:w="1116" w:type="dxa"/>
          </w:tcPr>
          <w:p w14:paraId="09956EC3"/>
        </w:tc>
        <w:tc>
          <w:tcPr>
            <w:tcW w:w="1116" w:type="dxa"/>
          </w:tcPr>
          <w:p w14:paraId="7ACDF8D5"/>
        </w:tc>
        <w:tc>
          <w:tcPr>
            <w:tcW w:w="954" w:type="dxa"/>
          </w:tcPr>
          <w:p w14:paraId="0F84338E"/>
        </w:tc>
        <w:tc>
          <w:tcPr>
            <w:tcW w:w="1278" w:type="dxa"/>
          </w:tcPr>
          <w:p w14:paraId="7EED5D5C"/>
        </w:tc>
        <w:tc>
          <w:tcPr>
            <w:tcW w:w="1116" w:type="dxa"/>
          </w:tcPr>
          <w:p w14:paraId="46022690"/>
        </w:tc>
        <w:tc>
          <w:tcPr>
            <w:tcW w:w="1117" w:type="dxa"/>
          </w:tcPr>
          <w:p w14:paraId="47803581"/>
        </w:tc>
        <w:tc>
          <w:tcPr>
            <w:tcW w:w="1009" w:type="dxa"/>
          </w:tcPr>
          <w:p w14:paraId="3BC47EF7"/>
        </w:tc>
        <w:tc>
          <w:tcPr>
            <w:tcW w:w="992" w:type="dxa"/>
          </w:tcPr>
          <w:p w14:paraId="396CEBC0"/>
        </w:tc>
        <w:tc>
          <w:tcPr>
            <w:tcW w:w="1439" w:type="dxa"/>
          </w:tcPr>
          <w:p w14:paraId="1A7D0CBF"/>
        </w:tc>
        <w:tc>
          <w:tcPr>
            <w:tcW w:w="1077" w:type="dxa"/>
          </w:tcPr>
          <w:p w14:paraId="3D95B7BE"/>
        </w:tc>
      </w:tr>
      <w:tr w14:paraId="6AD4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DD6633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44" w:type="dxa"/>
          </w:tcPr>
          <w:p w14:paraId="27978693"/>
        </w:tc>
        <w:tc>
          <w:tcPr>
            <w:tcW w:w="1116" w:type="dxa"/>
          </w:tcPr>
          <w:p w14:paraId="150AAEF7"/>
        </w:tc>
        <w:tc>
          <w:tcPr>
            <w:tcW w:w="1116" w:type="dxa"/>
          </w:tcPr>
          <w:p w14:paraId="1EB3657E"/>
        </w:tc>
        <w:tc>
          <w:tcPr>
            <w:tcW w:w="1116" w:type="dxa"/>
          </w:tcPr>
          <w:p w14:paraId="4F5A83DE"/>
        </w:tc>
        <w:tc>
          <w:tcPr>
            <w:tcW w:w="954" w:type="dxa"/>
          </w:tcPr>
          <w:p w14:paraId="0E472408"/>
        </w:tc>
        <w:tc>
          <w:tcPr>
            <w:tcW w:w="1278" w:type="dxa"/>
          </w:tcPr>
          <w:p w14:paraId="00F4B641"/>
        </w:tc>
        <w:tc>
          <w:tcPr>
            <w:tcW w:w="1116" w:type="dxa"/>
          </w:tcPr>
          <w:p w14:paraId="32C0E9DF"/>
        </w:tc>
        <w:tc>
          <w:tcPr>
            <w:tcW w:w="1117" w:type="dxa"/>
          </w:tcPr>
          <w:p w14:paraId="495261B9"/>
        </w:tc>
        <w:tc>
          <w:tcPr>
            <w:tcW w:w="1009" w:type="dxa"/>
          </w:tcPr>
          <w:p w14:paraId="7DBBC03D"/>
        </w:tc>
        <w:tc>
          <w:tcPr>
            <w:tcW w:w="992" w:type="dxa"/>
          </w:tcPr>
          <w:p w14:paraId="1BC6CCBD"/>
        </w:tc>
        <w:tc>
          <w:tcPr>
            <w:tcW w:w="1439" w:type="dxa"/>
          </w:tcPr>
          <w:p w14:paraId="3B098624"/>
        </w:tc>
        <w:tc>
          <w:tcPr>
            <w:tcW w:w="1077" w:type="dxa"/>
          </w:tcPr>
          <w:p w14:paraId="56130A17"/>
        </w:tc>
      </w:tr>
      <w:tr w14:paraId="09F46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6645E1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44" w:type="dxa"/>
          </w:tcPr>
          <w:p w14:paraId="3DB2C19E"/>
        </w:tc>
        <w:tc>
          <w:tcPr>
            <w:tcW w:w="1116" w:type="dxa"/>
          </w:tcPr>
          <w:p w14:paraId="3FD681A1"/>
        </w:tc>
        <w:tc>
          <w:tcPr>
            <w:tcW w:w="1116" w:type="dxa"/>
          </w:tcPr>
          <w:p w14:paraId="09D11BA0"/>
        </w:tc>
        <w:tc>
          <w:tcPr>
            <w:tcW w:w="1116" w:type="dxa"/>
          </w:tcPr>
          <w:p w14:paraId="3920D790"/>
        </w:tc>
        <w:tc>
          <w:tcPr>
            <w:tcW w:w="954" w:type="dxa"/>
          </w:tcPr>
          <w:p w14:paraId="4C1CBFFA"/>
        </w:tc>
        <w:tc>
          <w:tcPr>
            <w:tcW w:w="1278" w:type="dxa"/>
          </w:tcPr>
          <w:p w14:paraId="735531C7"/>
        </w:tc>
        <w:tc>
          <w:tcPr>
            <w:tcW w:w="1116" w:type="dxa"/>
          </w:tcPr>
          <w:p w14:paraId="311FBC6E"/>
        </w:tc>
        <w:tc>
          <w:tcPr>
            <w:tcW w:w="1117" w:type="dxa"/>
          </w:tcPr>
          <w:p w14:paraId="27F16CF6"/>
        </w:tc>
        <w:tc>
          <w:tcPr>
            <w:tcW w:w="1009" w:type="dxa"/>
          </w:tcPr>
          <w:p w14:paraId="759F5F4D"/>
        </w:tc>
        <w:tc>
          <w:tcPr>
            <w:tcW w:w="992" w:type="dxa"/>
          </w:tcPr>
          <w:p w14:paraId="71A2FD67"/>
        </w:tc>
        <w:tc>
          <w:tcPr>
            <w:tcW w:w="1439" w:type="dxa"/>
          </w:tcPr>
          <w:p w14:paraId="29A31C6D"/>
        </w:tc>
        <w:tc>
          <w:tcPr>
            <w:tcW w:w="1077" w:type="dxa"/>
          </w:tcPr>
          <w:p w14:paraId="6D6326D4"/>
        </w:tc>
      </w:tr>
      <w:tr w14:paraId="2938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418E3DF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44" w:type="dxa"/>
          </w:tcPr>
          <w:p w14:paraId="74A33238"/>
        </w:tc>
        <w:tc>
          <w:tcPr>
            <w:tcW w:w="1116" w:type="dxa"/>
          </w:tcPr>
          <w:p w14:paraId="6F20A92D"/>
        </w:tc>
        <w:tc>
          <w:tcPr>
            <w:tcW w:w="1116" w:type="dxa"/>
          </w:tcPr>
          <w:p w14:paraId="2525D7F7"/>
        </w:tc>
        <w:tc>
          <w:tcPr>
            <w:tcW w:w="1116" w:type="dxa"/>
          </w:tcPr>
          <w:p w14:paraId="2FDF67C3"/>
        </w:tc>
        <w:tc>
          <w:tcPr>
            <w:tcW w:w="954" w:type="dxa"/>
          </w:tcPr>
          <w:p w14:paraId="3AA0B380"/>
        </w:tc>
        <w:tc>
          <w:tcPr>
            <w:tcW w:w="1278" w:type="dxa"/>
          </w:tcPr>
          <w:p w14:paraId="5DD7B30A"/>
        </w:tc>
        <w:tc>
          <w:tcPr>
            <w:tcW w:w="1116" w:type="dxa"/>
          </w:tcPr>
          <w:p w14:paraId="64702775"/>
        </w:tc>
        <w:tc>
          <w:tcPr>
            <w:tcW w:w="1117" w:type="dxa"/>
          </w:tcPr>
          <w:p w14:paraId="5AF289CF"/>
        </w:tc>
        <w:tc>
          <w:tcPr>
            <w:tcW w:w="1009" w:type="dxa"/>
          </w:tcPr>
          <w:p w14:paraId="0F6FD9F9"/>
        </w:tc>
        <w:tc>
          <w:tcPr>
            <w:tcW w:w="992" w:type="dxa"/>
          </w:tcPr>
          <w:p w14:paraId="7E9C2640"/>
        </w:tc>
        <w:tc>
          <w:tcPr>
            <w:tcW w:w="1439" w:type="dxa"/>
          </w:tcPr>
          <w:p w14:paraId="480B7CB9"/>
        </w:tc>
        <w:tc>
          <w:tcPr>
            <w:tcW w:w="1077" w:type="dxa"/>
          </w:tcPr>
          <w:p w14:paraId="60487DC6"/>
        </w:tc>
      </w:tr>
      <w:tr w14:paraId="6916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A593FB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44" w:type="dxa"/>
          </w:tcPr>
          <w:p w14:paraId="025AFBC7"/>
        </w:tc>
        <w:tc>
          <w:tcPr>
            <w:tcW w:w="1116" w:type="dxa"/>
          </w:tcPr>
          <w:p w14:paraId="37F47EB1"/>
        </w:tc>
        <w:tc>
          <w:tcPr>
            <w:tcW w:w="1116" w:type="dxa"/>
          </w:tcPr>
          <w:p w14:paraId="740374C2"/>
        </w:tc>
        <w:tc>
          <w:tcPr>
            <w:tcW w:w="1116" w:type="dxa"/>
          </w:tcPr>
          <w:p w14:paraId="36214934"/>
        </w:tc>
        <w:tc>
          <w:tcPr>
            <w:tcW w:w="954" w:type="dxa"/>
          </w:tcPr>
          <w:p w14:paraId="1E260AD6"/>
        </w:tc>
        <w:tc>
          <w:tcPr>
            <w:tcW w:w="1278" w:type="dxa"/>
          </w:tcPr>
          <w:p w14:paraId="47B87212"/>
        </w:tc>
        <w:tc>
          <w:tcPr>
            <w:tcW w:w="1116" w:type="dxa"/>
          </w:tcPr>
          <w:p w14:paraId="45F67056"/>
        </w:tc>
        <w:tc>
          <w:tcPr>
            <w:tcW w:w="1117" w:type="dxa"/>
          </w:tcPr>
          <w:p w14:paraId="6B5336F9"/>
        </w:tc>
        <w:tc>
          <w:tcPr>
            <w:tcW w:w="1009" w:type="dxa"/>
          </w:tcPr>
          <w:p w14:paraId="3614D455"/>
        </w:tc>
        <w:tc>
          <w:tcPr>
            <w:tcW w:w="992" w:type="dxa"/>
          </w:tcPr>
          <w:p w14:paraId="56CA718F"/>
        </w:tc>
        <w:tc>
          <w:tcPr>
            <w:tcW w:w="1439" w:type="dxa"/>
          </w:tcPr>
          <w:p w14:paraId="5588B308"/>
        </w:tc>
        <w:tc>
          <w:tcPr>
            <w:tcW w:w="1077" w:type="dxa"/>
          </w:tcPr>
          <w:p w14:paraId="5CB73247"/>
        </w:tc>
      </w:tr>
      <w:tr w14:paraId="6637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48A2CEE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44" w:type="dxa"/>
          </w:tcPr>
          <w:p w14:paraId="3AD6B9F5"/>
        </w:tc>
        <w:tc>
          <w:tcPr>
            <w:tcW w:w="1116" w:type="dxa"/>
          </w:tcPr>
          <w:p w14:paraId="306774EF"/>
        </w:tc>
        <w:tc>
          <w:tcPr>
            <w:tcW w:w="1116" w:type="dxa"/>
          </w:tcPr>
          <w:p w14:paraId="4FEF5960"/>
        </w:tc>
        <w:tc>
          <w:tcPr>
            <w:tcW w:w="1116" w:type="dxa"/>
          </w:tcPr>
          <w:p w14:paraId="0B3AE3F8"/>
        </w:tc>
        <w:tc>
          <w:tcPr>
            <w:tcW w:w="954" w:type="dxa"/>
          </w:tcPr>
          <w:p w14:paraId="72259EB8"/>
        </w:tc>
        <w:tc>
          <w:tcPr>
            <w:tcW w:w="1278" w:type="dxa"/>
          </w:tcPr>
          <w:p w14:paraId="193BF897"/>
        </w:tc>
        <w:tc>
          <w:tcPr>
            <w:tcW w:w="1116" w:type="dxa"/>
          </w:tcPr>
          <w:p w14:paraId="1FDCA802"/>
        </w:tc>
        <w:tc>
          <w:tcPr>
            <w:tcW w:w="1117" w:type="dxa"/>
          </w:tcPr>
          <w:p w14:paraId="446DB640"/>
        </w:tc>
        <w:tc>
          <w:tcPr>
            <w:tcW w:w="1009" w:type="dxa"/>
          </w:tcPr>
          <w:p w14:paraId="73FE457E"/>
        </w:tc>
        <w:tc>
          <w:tcPr>
            <w:tcW w:w="992" w:type="dxa"/>
          </w:tcPr>
          <w:p w14:paraId="50DBE254"/>
        </w:tc>
        <w:tc>
          <w:tcPr>
            <w:tcW w:w="1439" w:type="dxa"/>
          </w:tcPr>
          <w:p w14:paraId="23E83230"/>
        </w:tc>
        <w:tc>
          <w:tcPr>
            <w:tcW w:w="1077" w:type="dxa"/>
          </w:tcPr>
          <w:p w14:paraId="4BEA69EE"/>
        </w:tc>
      </w:tr>
      <w:tr w14:paraId="5DC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6F72A0B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44" w:type="dxa"/>
          </w:tcPr>
          <w:p w14:paraId="179D8101"/>
        </w:tc>
        <w:tc>
          <w:tcPr>
            <w:tcW w:w="1116" w:type="dxa"/>
          </w:tcPr>
          <w:p w14:paraId="1272FF84"/>
        </w:tc>
        <w:tc>
          <w:tcPr>
            <w:tcW w:w="1116" w:type="dxa"/>
          </w:tcPr>
          <w:p w14:paraId="4030FB9C"/>
        </w:tc>
        <w:tc>
          <w:tcPr>
            <w:tcW w:w="1116" w:type="dxa"/>
          </w:tcPr>
          <w:p w14:paraId="2CB16EB4"/>
        </w:tc>
        <w:tc>
          <w:tcPr>
            <w:tcW w:w="954" w:type="dxa"/>
          </w:tcPr>
          <w:p w14:paraId="1FC41578"/>
        </w:tc>
        <w:tc>
          <w:tcPr>
            <w:tcW w:w="1278" w:type="dxa"/>
          </w:tcPr>
          <w:p w14:paraId="2FA53EE5"/>
        </w:tc>
        <w:tc>
          <w:tcPr>
            <w:tcW w:w="1116" w:type="dxa"/>
          </w:tcPr>
          <w:p w14:paraId="3DE8D371"/>
        </w:tc>
        <w:tc>
          <w:tcPr>
            <w:tcW w:w="1117" w:type="dxa"/>
          </w:tcPr>
          <w:p w14:paraId="6E0AB485"/>
        </w:tc>
        <w:tc>
          <w:tcPr>
            <w:tcW w:w="1009" w:type="dxa"/>
          </w:tcPr>
          <w:p w14:paraId="3B04B538"/>
        </w:tc>
        <w:tc>
          <w:tcPr>
            <w:tcW w:w="992" w:type="dxa"/>
          </w:tcPr>
          <w:p w14:paraId="53BCA543"/>
        </w:tc>
        <w:tc>
          <w:tcPr>
            <w:tcW w:w="1439" w:type="dxa"/>
          </w:tcPr>
          <w:p w14:paraId="29403B67"/>
        </w:tc>
        <w:tc>
          <w:tcPr>
            <w:tcW w:w="1077" w:type="dxa"/>
          </w:tcPr>
          <w:p w14:paraId="61AD2FF5"/>
        </w:tc>
      </w:tr>
      <w:tr w14:paraId="3E38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11EC8BF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544" w:type="dxa"/>
          </w:tcPr>
          <w:p w14:paraId="00AB217E"/>
        </w:tc>
        <w:tc>
          <w:tcPr>
            <w:tcW w:w="1116" w:type="dxa"/>
          </w:tcPr>
          <w:p w14:paraId="1D70474D"/>
        </w:tc>
        <w:tc>
          <w:tcPr>
            <w:tcW w:w="1116" w:type="dxa"/>
          </w:tcPr>
          <w:p w14:paraId="6CDF81AF"/>
        </w:tc>
        <w:tc>
          <w:tcPr>
            <w:tcW w:w="1116" w:type="dxa"/>
          </w:tcPr>
          <w:p w14:paraId="20C8BF06"/>
        </w:tc>
        <w:tc>
          <w:tcPr>
            <w:tcW w:w="954" w:type="dxa"/>
          </w:tcPr>
          <w:p w14:paraId="3E50EBA1"/>
        </w:tc>
        <w:tc>
          <w:tcPr>
            <w:tcW w:w="1278" w:type="dxa"/>
          </w:tcPr>
          <w:p w14:paraId="3175500A"/>
        </w:tc>
        <w:tc>
          <w:tcPr>
            <w:tcW w:w="1116" w:type="dxa"/>
          </w:tcPr>
          <w:p w14:paraId="0E96AC8E"/>
        </w:tc>
        <w:tc>
          <w:tcPr>
            <w:tcW w:w="1117" w:type="dxa"/>
          </w:tcPr>
          <w:p w14:paraId="6AFC2C68"/>
        </w:tc>
        <w:tc>
          <w:tcPr>
            <w:tcW w:w="1009" w:type="dxa"/>
          </w:tcPr>
          <w:p w14:paraId="4A50B104"/>
        </w:tc>
        <w:tc>
          <w:tcPr>
            <w:tcW w:w="992" w:type="dxa"/>
          </w:tcPr>
          <w:p w14:paraId="341C9E59"/>
        </w:tc>
        <w:tc>
          <w:tcPr>
            <w:tcW w:w="1439" w:type="dxa"/>
          </w:tcPr>
          <w:p w14:paraId="1B49E827"/>
        </w:tc>
        <w:tc>
          <w:tcPr>
            <w:tcW w:w="1077" w:type="dxa"/>
          </w:tcPr>
          <w:p w14:paraId="3E9F172A"/>
        </w:tc>
      </w:tr>
      <w:tr w14:paraId="7A17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48B440E7">
            <w:pPr>
              <w:jc w:val="center"/>
            </w:pPr>
            <w:r>
              <w:t>…</w:t>
            </w:r>
          </w:p>
        </w:tc>
        <w:tc>
          <w:tcPr>
            <w:tcW w:w="1544" w:type="dxa"/>
          </w:tcPr>
          <w:p w14:paraId="2702F2BC"/>
        </w:tc>
        <w:tc>
          <w:tcPr>
            <w:tcW w:w="1116" w:type="dxa"/>
          </w:tcPr>
          <w:p w14:paraId="74F59671"/>
        </w:tc>
        <w:tc>
          <w:tcPr>
            <w:tcW w:w="1116" w:type="dxa"/>
          </w:tcPr>
          <w:p w14:paraId="493B93AB"/>
        </w:tc>
        <w:tc>
          <w:tcPr>
            <w:tcW w:w="1116" w:type="dxa"/>
          </w:tcPr>
          <w:p w14:paraId="1F332673"/>
        </w:tc>
        <w:tc>
          <w:tcPr>
            <w:tcW w:w="954" w:type="dxa"/>
          </w:tcPr>
          <w:p w14:paraId="7383483F"/>
        </w:tc>
        <w:tc>
          <w:tcPr>
            <w:tcW w:w="1278" w:type="dxa"/>
          </w:tcPr>
          <w:p w14:paraId="2F3CE3AE"/>
        </w:tc>
        <w:tc>
          <w:tcPr>
            <w:tcW w:w="1116" w:type="dxa"/>
          </w:tcPr>
          <w:p w14:paraId="131001BF"/>
        </w:tc>
        <w:tc>
          <w:tcPr>
            <w:tcW w:w="1117" w:type="dxa"/>
          </w:tcPr>
          <w:p w14:paraId="1C98F404"/>
        </w:tc>
        <w:tc>
          <w:tcPr>
            <w:tcW w:w="1009" w:type="dxa"/>
          </w:tcPr>
          <w:p w14:paraId="52B623C2"/>
        </w:tc>
        <w:tc>
          <w:tcPr>
            <w:tcW w:w="992" w:type="dxa"/>
          </w:tcPr>
          <w:p w14:paraId="24FAE223"/>
        </w:tc>
        <w:tc>
          <w:tcPr>
            <w:tcW w:w="1439" w:type="dxa"/>
          </w:tcPr>
          <w:p w14:paraId="63F263F5"/>
        </w:tc>
        <w:tc>
          <w:tcPr>
            <w:tcW w:w="1077" w:type="dxa"/>
          </w:tcPr>
          <w:p w14:paraId="3EEE1118"/>
        </w:tc>
      </w:tr>
    </w:tbl>
    <w:p w14:paraId="637B6877"/>
    <w:p w14:paraId="762BF634"/>
    <w:p w14:paraId="42D8B98D">
      <w:pPr>
        <w:rPr>
          <w:u w:val="single"/>
        </w:rPr>
      </w:pPr>
      <w:r>
        <w:rPr>
          <w:rFonts w:hint="eastAsia"/>
        </w:rPr>
        <w:t>鉴定意见1：</w:t>
      </w:r>
      <w:r>
        <w:rPr>
          <w:u w:val="single"/>
        </w:rPr>
        <w:t xml:space="preserve">                                                                                                                          </w:t>
      </w:r>
    </w:p>
    <w:p w14:paraId="04D1B3DE"/>
    <w:p w14:paraId="1C7DF0FB">
      <w:pPr>
        <w:rPr>
          <w:u w:val="single"/>
        </w:rPr>
      </w:pPr>
      <w:bookmarkStart w:id="0" w:name="OLE_LINK14"/>
      <w:bookmarkStart w:id="1" w:name="OLE_LINK15"/>
      <w:r>
        <w:rPr>
          <w:rFonts w:hint="eastAsia"/>
        </w:rPr>
        <w:t>鉴定人单位、签字及联系电话：</w:t>
      </w:r>
      <w:bookmarkEnd w:id="0"/>
      <w:bookmarkEnd w:id="1"/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                              </w:t>
      </w:r>
    </w:p>
    <w:p w14:paraId="3AE9C35A">
      <w:pPr>
        <w:rPr>
          <w:u w:val="single"/>
        </w:rPr>
      </w:pPr>
    </w:p>
    <w:p w14:paraId="079B3DAF"/>
    <w:p w14:paraId="301F70EC">
      <w:pPr>
        <w:rPr>
          <w:u w:val="single"/>
        </w:rPr>
      </w:pPr>
      <w:r>
        <w:rPr>
          <w:rFonts w:hint="eastAsia"/>
        </w:rPr>
        <w:t>鉴定意见</w:t>
      </w:r>
      <w:r>
        <w:t>XX</w:t>
      </w:r>
      <w:r>
        <w:rPr>
          <w:rFonts w:hint="eastAsia"/>
        </w:rPr>
        <w:t>：</w:t>
      </w:r>
      <w:r>
        <w:rPr>
          <w:u w:val="single"/>
        </w:rPr>
        <w:t xml:space="preserve">                                                                                                                         </w:t>
      </w:r>
    </w:p>
    <w:p w14:paraId="3E5A99F4">
      <w:pPr>
        <w:rPr>
          <w:u w:val="single"/>
        </w:rPr>
      </w:pPr>
    </w:p>
    <w:p w14:paraId="7EBEDAB1">
      <w:pPr>
        <w:rPr>
          <w:u w:val="single"/>
        </w:rPr>
      </w:pPr>
      <w:bookmarkStart w:id="2" w:name="OLE_LINK18"/>
      <w:bookmarkStart w:id="3" w:name="OLE_LINK19"/>
      <w:r>
        <w:rPr>
          <w:rFonts w:hint="eastAsia"/>
        </w:rPr>
        <w:t>鉴定人及联系电话：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</w:t>
      </w:r>
    </w:p>
    <w:bookmarkEnd w:id="2"/>
    <w:bookmarkEnd w:id="3"/>
    <w:p w14:paraId="3A770CFB">
      <w:pPr>
        <w:rPr>
          <w:u w:val="single"/>
        </w:rPr>
      </w:pPr>
    </w:p>
    <w:p w14:paraId="4BA63C48">
      <w:pPr>
        <w:rPr>
          <w:u w:val="single"/>
        </w:rPr>
      </w:pPr>
    </w:p>
    <w:p w14:paraId="1D4A6FEF">
      <w:r>
        <w:rPr>
          <w:rFonts w:hint="eastAsia"/>
        </w:rPr>
        <w:t>资产使用部门意见：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</w:t>
      </w:r>
      <w:r>
        <w:t xml:space="preserve">                                                                                    </w:t>
      </w:r>
    </w:p>
    <w:p w14:paraId="2681D9DD">
      <w:pPr>
        <w:ind w:firstLine="10290" w:firstLineChars="4900"/>
      </w:pPr>
    </w:p>
    <w:p w14:paraId="7C51940E">
      <w:r>
        <w:rPr>
          <w:rFonts w:hint="eastAsia"/>
        </w:rPr>
        <w:t xml:space="preserve">部门负责人签字： </w:t>
      </w:r>
      <w:r>
        <w:t xml:space="preserve">                                                              </w:t>
      </w:r>
    </w:p>
    <w:p w14:paraId="37359B7F"/>
    <w:p w14:paraId="1EA6DEAE">
      <w:pPr>
        <w:ind w:firstLine="10500" w:firstLineChars="5000"/>
      </w:pPr>
      <w:r>
        <w:t xml:space="preserve"> </w:t>
      </w:r>
      <w:r>
        <w:rPr>
          <w:rFonts w:hint="eastAsia"/>
        </w:rPr>
        <w:t>鉴定日期：</w:t>
      </w:r>
      <w:r>
        <w:t xml:space="preserve">  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</w:t>
      </w:r>
      <w:r>
        <w:rPr>
          <w:rFonts w:hint="eastAsia"/>
        </w:rPr>
        <w:t>日</w:t>
      </w:r>
      <w:bookmarkStart w:id="4" w:name="_GoBack"/>
      <w:bookmarkEnd w:id="4"/>
    </w:p>
    <w:sectPr>
      <w:pgSz w:w="16838" w:h="11906" w:orient="landscape"/>
      <w:pgMar w:top="1797" w:right="1134" w:bottom="179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B34"/>
    <w:rsid w:val="0002752A"/>
    <w:rsid w:val="00094179"/>
    <w:rsid w:val="000E66C5"/>
    <w:rsid w:val="000E6B34"/>
    <w:rsid w:val="001005E5"/>
    <w:rsid w:val="00134513"/>
    <w:rsid w:val="004177DC"/>
    <w:rsid w:val="00667912"/>
    <w:rsid w:val="00A1117B"/>
    <w:rsid w:val="00AE5436"/>
    <w:rsid w:val="00B83A57"/>
    <w:rsid w:val="00CB5762"/>
    <w:rsid w:val="00DB0CC9"/>
    <w:rsid w:val="00E43FFF"/>
    <w:rsid w:val="00EC2D1E"/>
    <w:rsid w:val="00ED7930"/>
    <w:rsid w:val="00F60C3E"/>
    <w:rsid w:val="5AF6332A"/>
    <w:rsid w:val="6C1A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批注框文本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5D2E643-2268-462E-A857-F447E5125D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598</Words>
  <Characters>612</Characters>
  <Lines>10</Lines>
  <Paragraphs>3</Paragraphs>
  <TotalTime>454</TotalTime>
  <ScaleCrop>false</ScaleCrop>
  <LinksUpToDate>false</LinksUpToDate>
  <CharactersWithSpaces>1342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2026-10-23T01:24:00Z</dcterms:created>
  <dc:creator>郭芸</dc:creator>
  <cp:lastModifiedBy>杜暖男</cp:lastModifiedBy>
  <cp:lastPrinted>2026-10-26T05:45:00Z</cp:lastPrinted>
  <dcterms:modified xsi:type="dcterms:W3CDTF">2026-10-27T15:19:08Z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eyJoZGlkIjoiMDRhZmEyYzVhNGNlMmY5YTY5NDhiNmFjYTFkYjVlZDQiLCJ1c2VySWQiOiIxNjg3NzczMjYwIn0=</vt:lpwstr>
  </property>
  <property fmtid="{D5CDD505-2E9C-101B-9397-08002B2CF9AE}" pid="3" name="KSOProductBuildVer">
    <vt:lpwstr>2052-12.1.0.29158</vt:lpwstr>
  </property>
  <property fmtid="{D5CDD505-2E9C-101B-9397-08002B2CF9AE}" pid="4" name="ICV">
    <vt:lpwstr>C0A4B89EEEB94AF490D8D636B813439F_12</vt:lpwstr>
  </property>
</Properties>
</file>