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报废资产现场移交出门单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（节点11 · 实物交接）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处置单号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移交日期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移交地点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接收单位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移交人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联系电话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一、移交资产清单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800"/>
        <w:gridCol w:w="2800"/>
        <w:gridCol w:w="2000"/>
        <w:gridCol w:w="800"/>
        <w:gridCol w:w="1638"/>
      </w:tblGrid>
      <w:tr>
        <w:trPr>
          <w:trHeight w:val="42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1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资产编号</w:t>
            </w:r>
          </w:p>
        </w:tc>
        <w:tc>
          <w:tcPr>
            <w:tcW w:type="dxa" w:w="2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2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规格型号</w:t>
            </w:r>
          </w:p>
        </w:tc>
        <w:tc>
          <w:tcPr>
            <w:tcW w:type="dxa" w:w="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数量</w:t>
            </w:r>
          </w:p>
        </w:tc>
        <w:tc>
          <w:tcPr>
            <w:tcW w:type="dxa" w:w="16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备注</w:t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二、交接确认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2638"/>
        <w:gridCol w:w="2200"/>
        <w:gridCol w:w="2600"/>
      </w:tblGrid>
      <w:tr>
        <w:trPr>
          <w:trHeight w:val="480" w:hRule="atLeast"/>
        </w:trPr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移交人（签字）</w:t>
            </w:r>
          </w:p>
        </w:tc>
        <w:tc>
          <w:tcPr>
            <w:tcW w:type="dxa" w:w="2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接收人（签字）</w:t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监交人（签字）</w:t>
            </w:r>
          </w:p>
        </w:tc>
        <w:tc>
          <w:tcPr>
            <w:tcW w:type="dxa" w:w="2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资产管理员（签字）</w:t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交接时间</w:t>
            </w:r>
          </w:p>
        </w:tc>
        <w:tc>
          <w:tcPr>
            <w:tcW w:type="dxa" w:w="26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left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交接地点</w:t>
            </w:r>
          </w:p>
        </w:tc>
        <w:tc>
          <w:tcPr>
            <w:tcW w:type="dxa" w:w="2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三、出门放行</w:t>
      </w:r>
    </w:p>
    <w:p>
      <w:pPr>
        <w:spacing w:after="120" w:before="10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门卫（签字）：________________________　　放行时间：______年____月____日____时____分</w:t>
      </w:r>
    </w:p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实物交接应在资金到账后办理；本单应与公开竞价成交确认单、废旧商品收购单及财务残值入账凭证一并归档。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2026-10-27T15:17:30.394Z</dcterms:created>
  <dcterms:modified xsi:type="dcterms:W3CDTF">2026-10-27T15:17:30.394Z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