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面向新污染物科普的生成式视觉交互设计研究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填表日期：2026年10月16日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拟定毕业展示题目：面向新污染物科普的生成式视觉交互设计研究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已完成固定版式卡片、二维码及作品档案的初步流程，支持保存、扫码回看和撤回公开记录，为艺术卡输出与分享提供基础；AI风格化生成仍属后续设计。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本创作拟设计面向多端的新污染物科普数字应用，将日常观察、生成式视觉表达与图鉴收集相结合。以用户自选的生活照片为创作素材，将原照转为三维场景纳入收藏盒，同时依据美学模板另行生成艺术卡。依据可靠资料关联科普主题后，在卡片与知识页中呈现生活关联、简要解释和资料出处，并以图鉴记录收集的主题。通过生成结果的视觉吸引、个人作品的收藏回看与自主分享，尝试激发公众持续观察的兴趣，使新污染物科普融入日常生活与交流。</w:t>
            </w:r>
          </w:p>
          <w:p>
            <w:pPr>
              <w:pStyle w:val="Heading2"/>
              <w:keepNext/>
              <w:keepLines/>
            </w:pPr>
            <w:r>
              <w:rPr>
                <w:rFonts w:ascii="Times New Roman" w:hAnsi="Times New Roman" w:eastAsia="黑体"/>
                <w:b/>
                <w:sz w:val="24"/>
              </w:rPr>
              <w:t>3.2 方案草图</w:t>
            </w:r>
          </w:p>
          <w:p>
            <w:pPr>
              <w:ind w:firstLine="420"/>
              <w:jc w:val="both"/>
            </w:pPr>
            <w:r>
              <w:rPr>
                <w:rFonts w:ascii="Times New Roman" w:hAnsi="Times New Roman" w:eastAsia="宋体"/>
                <w:b w:val="0"/>
                <w:sz w:val="24"/>
              </w:rPr>
              <w:t>草图分别呈现照片的双路生成关系与关键界面。艺术卡拟以美学模板和技能包（Skill）组织生成规则</w:t>
            </w:r>
            <w:hyperlink r:id="rId22">
              <w:r>
                <w:rPr>
                  <w:rFonts w:ascii="Times New Roman" w:eastAsia="宋体"/>
                  <w:sz w:val="24"/>
                  <w:color w:val="222222"/>
                </w:rPr>
                <w:t>[13]</w:t>
              </w:r>
            </w:hyperlink>
            <w:r>
              <w:rPr>
                <w:rFonts w:ascii="Times New Roman" w:hAnsi="Times New Roman" w:eastAsia="宋体"/>
                <w:b w:val="0"/>
                <w:sz w:val="24"/>
              </w:rPr>
              <w:t>，科普文字与出处采用经核对的内容。图中仅示意布局、操作与反馈，视觉风格和条目范围将结合调研细化。</w:t>
            </w:r>
          </w:p>
          <w:p>
            <w:pPr>
              <w:keepNext/>
              <w:spacing w:line="240" w:lineRule="auto"/>
              <w:jc w:val="center"/>
            </w:pPr>
            <w:r>
              <w:drawing>
                <wp:inline xmlns:a="http://schemas.openxmlformats.org/drawingml/2006/main" xmlns:pic="http://schemas.openxmlformats.org/drawingml/2006/picture">
                  <wp:extent cx="5544000" cy="4841760"/>
                  <wp:docPr id="1" name="Picture 1"/>
                  <wp:cNvGraphicFramePr>
                    <a:graphicFrameLocks noChangeAspect="1"/>
                  </wp:cNvGraphicFramePr>
                  <a:graphic>
                    <a:graphicData uri="http://schemas.openxmlformats.org/drawingml/2006/picture">
                      <pic:pic>
                        <pic:nvPicPr>
                          <pic:cNvPr id="0" name="03-generation-flow.png"/>
                          <pic:cNvPicPr/>
                        </pic:nvPicPr>
                        <pic:blipFill>
                          <a:blip r:embed="rId23"/>
                          <a:stretch>
                            <a:fillRect/>
                          </a:stretch>
                        </pic:blipFill>
                        <pic:spPr>
                          <a:xfrm>
                            <a:off x="0" y="0"/>
                            <a:ext cx="5544000" cy="4841760"/>
                          </a:xfrm>
                          <a:prstGeom prst="rect"/>
                        </pic:spPr>
                      </pic:pic>
                    </a:graphicData>
                  </a:graphic>
                </wp:inline>
              </w:drawing>
            </w:r>
          </w:p>
          <w:p>
            <w:pPr>
              <w:jc w:val="center"/>
            </w:pPr>
            <w:r>
              <w:rPr>
                <w:rFonts w:ascii="Times New Roman" w:hAnsi="Times New Roman" w:eastAsia="宋体"/>
                <w:b w:val="0"/>
                <w:sz w:val="20"/>
              </w:rPr>
              <w:t>图1 日常照片的双路生成与科普主题关联（概念草图）</w:t>
            </w:r>
          </w:p>
          <w:p>
            <w:pPr>
              <w:keepNext/>
              <w:spacing w:line="240" w:lineRule="auto"/>
              <w:jc w:val="center"/>
            </w:pPr>
            <w:r>
              <w:drawing>
                <wp:inline xmlns:a="http://schemas.openxmlformats.org/drawingml/2006/main" xmlns:pic="http://schemas.openxmlformats.org/drawingml/2006/picture">
                  <wp:extent cx="5544000" cy="6541920"/>
                  <wp:docPr id="2" name="Picture 2"/>
                  <wp:cNvGraphicFramePr>
                    <a:graphicFrameLocks noChangeAspect="1"/>
                  </wp:cNvGraphicFramePr>
                  <a:graphic>
                    <a:graphicData uri="http://schemas.openxmlformats.org/drawingml/2006/picture">
                      <pic:pic>
                        <pic:nvPicPr>
                          <pic:cNvPr id="0" name="04-interface-sketches.png"/>
                          <pic:cNvPicPr/>
                        </pic:nvPicPr>
                        <pic:blipFill>
                          <a:blip r:embed="rId24"/>
                          <a:stretch>
                            <a:fillRect/>
                          </a:stretch>
                        </pic:blipFill>
                        <pic:spPr>
                          <a:xfrm>
                            <a:off x="0" y="0"/>
                            <a:ext cx="5544000" cy="6541920"/>
                          </a:xfrm>
                          <a:prstGeom prst="rect"/>
                        </pic:spPr>
                      </pic:pic>
                    </a:graphicData>
                  </a:graphic>
                </wp:inline>
              </w:drawing>
            </w:r>
          </w:p>
          <w:p>
            <w:pPr>
              <w:jc w:val="center"/>
            </w:pPr>
            <w:r>
              <w:rPr>
                <w:rFonts w:ascii="Times New Roman" w:hAnsi="Times New Roman" w:eastAsia="宋体"/>
                <w:b w:val="0"/>
                <w:sz w:val="20"/>
              </w:rPr>
              <w:t>图2 收藏、观察、生成结果与知识页的界面关系（线框草图）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（1）用户认知与需求调查</w:t>
            </w:r>
          </w:p>
          <w:p>
            <w:pPr>
              <w:ind w:firstLine="420"/>
              <w:jc w:val="both"/>
            </w:pPr>
            <w:r>
              <w:rPr>
                <w:rFonts w:ascii="Times New Roman" w:hAnsi="Times New Roman" w:eastAsia="宋体"/>
                <w:b w:val="0"/>
                <w:sz w:val="24"/>
              </w:rPr>
              <w:t>面向有日常拍照经验的成年公众，通过问卷与照片访谈</w:t>
            </w:r>
            <w:hyperlink r:id="rId25">
              <w:r>
                <w:rPr>
                  <w:rFonts w:ascii="Times New Roman" w:eastAsia="宋体"/>
                  <w:sz w:val="24"/>
                  <w:color w:val="222222"/>
                </w:rPr>
                <w:t>[14]</w:t>
              </w:r>
            </w:hyperlink>
            <w:r>
              <w:rPr>
                <w:rFonts w:ascii="Times New Roman" w:hAnsi="Times New Roman" w:eastAsia="宋体"/>
                <w:b w:val="0"/>
                <w:sz w:val="24"/>
              </w:rPr>
              <w:t>，了解其对新污染物的认知、知识疑问及拍摄、收藏和分享习惯，分析参与科普的动机与障碍，明确内容需求和设计切入点。</w:t>
            </w:r>
          </w:p>
          <w:p>
            <w:pPr>
              <w:pStyle w:val="Heading3"/>
              <w:keepNext/>
              <w:keepLines/>
            </w:pPr>
            <w:r>
              <w:br/>
            </w:r>
            <w:r>
              <w:br/>
            </w:r>
            <w:r>
              <w:rPr>
                <w:rFonts w:ascii="Times New Roman" w:hAnsi="Times New Roman" w:eastAsia="黑体"/>
                <w:b/>
                <w:sz w:val="24"/>
              </w:rPr>
              <w:t>（2）科普内容与方案设计</w:t>
            </w:r>
          </w:p>
          <w:p>
            <w:pPr>
              <w:ind w:firstLine="420"/>
              <w:jc w:val="both"/>
            </w:pPr>
            <w:r>
              <w:rPr>
                <w:rFonts w:ascii="Times New Roman" w:hAnsi="Times New Roman" w:eastAsia="宋体"/>
                <w:b w:val="0"/>
                <w:sz w:val="24"/>
              </w:rPr>
              <w:t>结合调研与可靠资料筛选科普主题，梳理设计目标、信息架构及交互规则。将生成式视觉表达与收集机制结合，分别设计原照三维盒子、艺术卡和知识图鉴，明确各自的展示、收藏与科普作用，形成界面及美学模板方案。</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整合人工智能图像理解、风格化图像生成与单图三维生成技术，验证照片筛查和主题关联的可靠性，评估生成效果、等待时间及移动端适配。将科普主题与核对后的资料对应，明确关联不等于检出；照片可用但无可靠关联时，仍生成盒子与艺术卡，不点亮图鉴。</w:t>
            </w:r>
          </w:p>
          <w:p>
            <w:pPr>
              <w:pStyle w:val="Heading3"/>
              <w:keepNext/>
              <w:keepLines/>
            </w:pPr>
            <w:r>
              <w:br/>
            </w:r>
            <w:r>
              <w:rPr>
                <w:rFonts w:ascii="Times New Roman" w:hAnsi="Times New Roman" w:eastAsia="黑体"/>
                <w:b/>
                <w:sz w:val="24"/>
              </w:rPr>
              <w:t>（4）方案实施与评估</w:t>
            </w:r>
          </w:p>
          <w:p>
            <w:pPr>
              <w:ind w:firstLine="420"/>
              <w:jc w:val="both"/>
            </w:pPr>
            <w:r>
              <w:rPr>
                <w:rFonts w:ascii="Times New Roman" w:hAnsi="Times New Roman" w:eastAsia="宋体"/>
                <w:b w:val="0"/>
                <w:sz w:val="24"/>
              </w:rPr>
              <w:t>制作交互原型并开展小规模用户测试，结合体验前后知识问答、操作记录和访谈，考察知识理解、使用体验及继续观察和分享的意愿。邀请未参与创作的用户独立阅读卡片，检查科普信息能否被理解，并根据反馈完善方案。</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查阅新污染物治理、科学传播、生成式视觉与游戏化设计资料，整理科普依据、适用条件及相关设计方法。</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分析交互科普、影像生成与收集类产品，比较知识呈现、参与反馈和分享方式，归纳可借鉴的设计策略。</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通过问卷、半结构化访谈与照片讨论，收集公众的认知差异、生活经验和参与需求，为内容选择与交互设计提供依据。</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运用使用情境、分镜和原型推敲方案，请相关专业人员核对科普内容，检验视觉表达与知识解释是否一致。</w:t>
            </w:r>
          </w:p>
          <w:p>
            <w:pPr>
              <w:pStyle w:val="Heading3"/>
              <w:keepNext/>
              <w:keepLines/>
            </w:pPr>
            <w:r>
              <w:rPr>
                <w:rFonts w:ascii="Times New Roman" w:hAnsi="Times New Roman" w:eastAsia="黑体"/>
                <w:b/>
                <w:sz w:val="24"/>
              </w:rPr>
              <w:t>（5）可用性测试与设计迭代</w:t>
            </w:r>
          </w:p>
          <w:p>
            <w:pPr>
              <w:ind w:firstLine="420"/>
              <w:jc w:val="both"/>
            </w:pPr>
            <w:r>
              <w:rPr>
                <w:rFonts w:ascii="Times New Roman" w:hAnsi="Times New Roman" w:eastAsia="宋体"/>
                <w:b w:val="0"/>
                <w:sz w:val="24"/>
              </w:rPr>
              <w:t>通过任务测试与体验反馈发现操作和理解问题，调整界面、生成模板及科普提示，保留修改与复查记录。</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br/>
            </w: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5">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专业学位研究生毕业展示开题报告书</dc:subject>
  <dc:creator/>
  <cp:keywords>信息与交互设计,新污染物科普,生成式视觉交互,开题报告</cp:keywords>
  <dc:description>generated by python-docx</dc:description>
  <cp:lastModifiedBy/>
  <cp:revision>1</cp:revision>
  <dcterms:created xsi:type="dcterms:W3CDTF">2013-12-23T23:15:00Z</dcterms:created>
  <dcterms:modified xsi:type="dcterms:W3CDTF">2013-12-23T23:15:00Z</dcterms:modified>
  <cp:category/>
</cp:coreProperties>
</file>