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面向新污染物科普的照片驱动参与式交互设计研究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填表日期：2026年10月7日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拟定毕业展示题目：面向新污染物科普的照片驱动参与式交互设计研究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ind w:firstLine="420"/>
              <w:jc w:val="both"/>
            </w:pPr>
            <w:r>
              <w:rPr>
                <w:rFonts w:ascii="Times New Roman" w:hAnsi="Times New Roman" w:eastAsia="宋体"/>
                <w:b w:val="0"/>
                <w:sz w:val="24"/>
              </w:rPr>
              <w:t>联合国环境规划署的Beat Pollution专题网站按污染议题设置入口，提供新闻故事、行动专题、活动和资源链接，其中包括化学污染相关内容。</w:t>
            </w:r>
            <w:hyperlink r:id="rId14">
              <w:r>
                <w:rPr>
                  <w:rFonts w:ascii="Times New Roman" w:eastAsia="宋体"/>
                  <w:sz w:val="24"/>
                  <w:color w:val="222222"/>
                </w:rPr>
                <w:t>[5]</w:t>
              </w:r>
            </w:hyperlink>
            <w:r>
              <w:rPr>
                <w:rFonts w:ascii="Times New Roman" w:hAnsi="Times New Roman" w:eastAsia="宋体"/>
                <w:b w:val="0"/>
                <w:sz w:val="24"/>
              </w:rPr>
              <w:t>它把认识问题与查找行动信息放在同一平台，便于公众从感兴趣的议题继续查看资料。这为新污染物科普提供信息组织方面的参照，但网站涵盖广泛污染议题，不能直接作为中国新污染物范围的划分，也不能据此推断读者已经理解知识或改变行为。</w:t>
            </w:r>
          </w:p>
          <w:p>
            <w:pPr>
              <w:ind w:firstLine="420"/>
              <w:jc w:val="both"/>
            </w:pPr>
            <w:r>
              <w:rPr>
                <w:rFonts w:ascii="Times New Roman" w:hAnsi="Times New Roman" w:eastAsia="宋体"/>
                <w:b w:val="0"/>
                <w:sz w:val="24"/>
              </w:rPr>
              <w:t>在国外科学传播研究中，相关文献关注怎样把专业知识讲给没有专业背景的人，也关注公众如何提出问题和参与讨论。科学叙事研究关注怎样从具体人物或对象出发，把事情如何发生、前后怎样联系讲清楚，并提醒个别故事与一般科学证据需要分清。</w:t>
            </w:r>
            <w:hyperlink r:id="rId15">
              <w:r>
                <w:rPr>
                  <w:rFonts w:ascii="Times New Roman" w:eastAsia="宋体"/>
                  <w:sz w:val="24"/>
                  <w:color w:val="222222"/>
                </w:rPr>
                <w:t>[6]</w:t>
              </w:r>
            </w:hyperlink>
            <w:r>
              <w:rPr>
                <w:rFonts w:ascii="Times New Roman" w:hAnsi="Times New Roman" w:eastAsia="宋体"/>
                <w:b w:val="0"/>
                <w:sz w:val="24"/>
              </w:rPr>
              <w:t>这类研究为理解科普中的叙述方式提供依据，但某种表达方法是否适合特定议题，还需要结合对象、内容和使用情境判断，不能由理论直接推断一件作品的理解效果。</w:t>
            </w:r>
          </w:p>
          <w:p>
            <w:pPr>
              <w:ind w:firstLine="420"/>
              <w:jc w:val="both"/>
            </w:pPr>
            <w:r>
              <w:rPr>
                <w:rFonts w:ascii="Times New Roman" w:hAnsi="Times New Roman" w:eastAsia="宋体"/>
                <w:b w:val="0"/>
                <w:sz w:val="24"/>
              </w:rPr>
              <w:t>数字媒介与参与式文化研究则关注人们如何从观看者转为创作者，讨论创作和分享的门槛、成员互助以及个人贡献怎样进入共同文化活动。</w:t>
            </w:r>
            <w:hyperlink r:id="rId13">
              <w:r>
                <w:rPr>
                  <w:rFonts w:ascii="Times New Roman" w:eastAsia="宋体"/>
                  <w:sz w:val="24"/>
                  <w:color w:val="222222"/>
                </w:rPr>
                <w:t>[4]</w:t>
              </w:r>
            </w:hyperlink>
            <w:r>
              <w:rPr>
                <w:rFonts w:ascii="Times New Roman" w:hAnsi="Times New Roman" w:eastAsia="宋体"/>
                <w:b w:val="0"/>
                <w:sz w:val="24"/>
              </w:rPr>
              <w:t>它为数字创作中的表达、交流和再创作提供了研究视角。科学传播与数字参与各自回答不同问题：前者关注知识怎样被说明，后者关注人们怎样进入活动。实践比较还应查看内容来源、参与方式和反馈安排，分清设计描述与已经取得的评价证据。</w:t>
            </w:r>
          </w:p>
          <w:p>
            <w:pPr>
              <w:pStyle w:val="Heading3"/>
              <w:keepNext/>
              <w:keepLines/>
            </w:pPr>
            <w:r>
              <w:rPr>
                <w:rFonts w:ascii="Times New Roman" w:hAnsi="Times New Roman" w:eastAsia="黑体"/>
                <w:b/>
                <w:sz w:val="24"/>
              </w:rPr>
              <w:t>1.3.2 国内现状</w:t>
            </w:r>
          </w:p>
          <w:p>
            <w:pPr>
              <w:ind w:firstLine="420"/>
              <w:jc w:val="both"/>
            </w:pPr>
            <w:r>
              <w:rPr>
                <w:rFonts w:ascii="Times New Roman" w:hAnsi="Times New Roman" w:eastAsia="宋体"/>
                <w:b w:val="0"/>
                <w:sz w:val="24"/>
              </w:rPr>
              <w:t>国内已有将环境议题变成互动作品的具体探索。中央美术学院“海洋增强”课程先调查海洋生态，再整理生态关系和危机关系图谱。其中“海洋‘声’态”方案让多人操作旋钮，模拟海洋噪声并呈现相应画面。</w:t>
            </w:r>
            <w:hyperlink r:id="rId16">
              <w:r>
                <w:rPr>
                  <w:rFonts w:ascii="Times New Roman" w:eastAsia="宋体"/>
                  <w:sz w:val="24"/>
                  <w:color w:val="222222"/>
                </w:rPr>
                <w:t>[7]</w:t>
              </w:r>
            </w:hyperlink>
            <w:r>
              <w:rPr>
                <w:rFonts w:ascii="Times New Roman" w:hAnsi="Times New Roman" w:eastAsia="宋体"/>
                <w:b w:val="0"/>
                <w:sz w:val="24"/>
              </w:rPr>
              <w:t>它提供了从调查、关系整理到参与动作的设计参照，也提示共同画面怎样与多人操作联系。该网页记录的是方案阶段，借鉴范围是环境艺术的交互机制，并非新污染物科学内容或公众效果的证据。</w:t>
            </w:r>
          </w:p>
          <w:p>
            <w:pPr>
              <w:ind w:firstLine="420"/>
              <w:jc w:val="both"/>
            </w:pPr>
            <w:r>
              <w:rPr>
                <w:rFonts w:ascii="Times New Roman" w:hAnsi="Times New Roman" w:eastAsia="宋体"/>
                <w:b w:val="0"/>
                <w:sz w:val="24"/>
              </w:rPr>
              <w:t>科普说明也需要照顾人在现场怎样操作。国内关于展品说明牌可视化的研究，讨论简化层次、突出重点、适应观看情境和及时反馈，并结合操作指引改版说明如何组织原理、操作与延伸内容。</w:t>
            </w:r>
            <w:hyperlink r:id="rId17">
              <w:r>
                <w:rPr>
                  <w:rFonts w:ascii="Times New Roman" w:eastAsia="宋体"/>
                  <w:sz w:val="24"/>
                  <w:color w:val="222222"/>
                </w:rPr>
                <w:t>[8]</w:t>
              </w:r>
            </w:hyperlink>
            <w:r>
              <w:rPr>
                <w:rFonts w:ascii="Times New Roman" w:hAnsi="Times New Roman" w:eastAsia="宋体"/>
                <w:b w:val="0"/>
                <w:sz w:val="24"/>
              </w:rPr>
              <w:t>这提示科普设计把必要说明放在动作附近，让观众找到入口后知道下一步。该文并非专门研究新污染物，提供的是说明和反馈的方法。两项国内案例分别联系环境艺术和科普信息设计，适合作为设计机制的参照，不能替代具体污染物内容的科学核对。</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1.4.1 理论意义</w:t>
            </w:r>
          </w:p>
          <w:p>
            <w:pPr>
              <w:pStyle w:val="Heading4"/>
              <w:keepNext/>
              <w:keepLines/>
            </w:pPr>
            <w:r>
              <w:rPr>
                <w:rFonts w:ascii="Times New Roman" w:hAnsi="Times New Roman" w:eastAsia="黑体"/>
                <w:b/>
                <w:sz w:val="24"/>
              </w:rPr>
              <w:t>（1）丰富生活情境中的科普信息组织</w:t>
            </w:r>
          </w:p>
          <w:p>
            <w:pPr>
              <w:ind w:firstLine="420"/>
              <w:jc w:val="both"/>
            </w:pPr>
            <w:r>
              <w:rPr>
                <w:rFonts w:ascii="Times New Roman" w:hAnsi="Times New Roman" w:eastAsia="宋体"/>
                <w:b w:val="0"/>
                <w:sz w:val="24"/>
              </w:rPr>
              <w:t>拟把照片访谈、按过程讲述和分段说明用于同一件作品，研究观众如何从自己的生活画面提出问题，又怎样通过局部操作了解画面之外的科学过程。通过记录人们的理解、疑问和修改结果，说明这些方法在哪些情况下有用、哪里仍需改进，为生活场景中的科普设计提供可讨论的经验。</w:t>
            </w:r>
          </w:p>
          <w:p>
            <w:pPr>
              <w:pStyle w:val="Heading4"/>
              <w:keepNext/>
              <w:keepLines/>
            </w:pPr>
            <w:r>
              <w:rPr>
                <w:rFonts w:ascii="Times New Roman" w:hAnsi="Times New Roman" w:eastAsia="黑体"/>
                <w:b/>
                <w:sz w:val="24"/>
              </w:rPr>
              <w:t>（2）探索作品如何继续被阅读和创作</w:t>
            </w:r>
          </w:p>
          <w:p>
            <w:pPr>
              <w:ind w:firstLine="420"/>
              <w:jc w:val="both"/>
            </w:pPr>
            <w:r>
              <w:rPr>
                <w:rFonts w:ascii="Times New Roman" w:hAnsi="Times New Roman" w:eastAsia="宋体"/>
                <w:b w:val="0"/>
                <w:sz w:val="24"/>
              </w:rPr>
              <w:t>拟研究一件作品从创作网页到艺术卡，再到扫码页面和他人再创作时，怎样保持个人意义及必要知识。参与者提供照片、选择操作和公开方式，共同形成作品档案。研究会据此整理内容与操作的衔接方法，并记录需要参与者进一步影响设计的环节，让后续创作者知道可以怎样继续。</w:t>
            </w:r>
          </w:p>
          <w:p>
            <w:pPr>
              <w:pStyle w:val="Heading3"/>
              <w:keepNext/>
              <w:keepLines/>
            </w:pPr>
            <w:r>
              <w:rPr>
                <w:rFonts w:ascii="Times New Roman" w:hAnsi="Times New Roman" w:eastAsia="黑体"/>
                <w:b/>
                <w:sz w:val="24"/>
              </w:rPr>
              <w:t>1.4.2 实践价值</w:t>
            </w:r>
          </w:p>
          <w:p>
            <w:pPr>
              <w:pStyle w:val="Heading4"/>
              <w:keepNext/>
              <w:keepLines/>
            </w:pPr>
            <w:r>
              <w:rPr>
                <w:rFonts w:ascii="Times New Roman" w:hAnsi="Times New Roman" w:eastAsia="黑体"/>
                <w:b/>
                <w:sz w:val="24"/>
              </w:rPr>
              <w:t>（1）提供贴近日常的科普入口</w:t>
            </w:r>
          </w:p>
          <w:p>
            <w:pPr>
              <w:ind w:firstLine="420"/>
              <w:jc w:val="both"/>
            </w:pPr>
            <w:r>
              <w:rPr>
                <w:rFonts w:ascii="Times New Roman" w:hAnsi="Times New Roman" w:eastAsia="宋体"/>
                <w:b w:val="0"/>
                <w:sz w:val="24"/>
              </w:rPr>
              <w:t>以自己的场景照片联系一件具体物品和活动，让观众从已有经验进入科普。材质或使用条件不清楚时，作品提示需要补充的信息，再决定使用哪段科学材料，使熟悉的画面成为清楚讲解的入口。</w:t>
            </w:r>
          </w:p>
          <w:p>
            <w:pPr>
              <w:pStyle w:val="Heading4"/>
              <w:keepNext/>
              <w:keepLines/>
            </w:pPr>
            <w:r>
              <w:rPr>
                <w:rFonts w:ascii="Times New Roman" w:hAnsi="Times New Roman" w:eastAsia="黑体"/>
                <w:b/>
                <w:sz w:val="24"/>
              </w:rPr>
              <w:t>（2）形成具有个人意义的艺术作品</w:t>
            </w:r>
          </w:p>
          <w:p>
            <w:pPr>
              <w:ind w:firstLine="420"/>
              <w:jc w:val="both"/>
            </w:pPr>
            <w:r>
              <w:rPr>
                <w:rFonts w:ascii="Times New Roman" w:hAnsi="Times New Roman" w:eastAsia="宋体"/>
                <w:b w:val="0"/>
                <w:sz w:val="24"/>
              </w:rPr>
              <w:t>照片纹理、名字、盒子视角和卡片构图共同形成个人作品。研究拟分别了解它是否好看、是否让人想到自己的生活、是否容易操作和读懂，让个人表达与科普信息相互配合，而不只追求统一的宣传画面。</w:t>
            </w:r>
          </w:p>
          <w:p>
            <w:pPr>
              <w:pStyle w:val="Heading4"/>
              <w:keepNext/>
              <w:keepLines/>
            </w:pPr>
            <w:r>
              <w:rPr>
                <w:rFonts w:ascii="Times New Roman" w:hAnsi="Times New Roman" w:eastAsia="黑体"/>
                <w:b/>
                <w:sz w:val="24"/>
              </w:rPr>
              <w:t>（3）连接线上分享与线下体验</w:t>
            </w:r>
          </w:p>
          <w:p>
            <w:pPr>
              <w:ind w:firstLine="420"/>
              <w:jc w:val="both"/>
            </w:pPr>
            <w:r>
              <w:rPr>
                <w:rFonts w:ascii="Times New Roman" w:hAnsi="Times New Roman" w:eastAsia="宋体"/>
                <w:b w:val="0"/>
                <w:sz w:val="24"/>
              </w:rPr>
              <w:t>线上通过卡片、二维码和公共档案延续观看，线下可以提供选图和体验入口。观众在本人同意公开后分享作品，朋友能回到同一件作品继续查看说明。不同入口接入同一套内容与操作，让创作结束后仍有回看和交流的机会。</w:t>
            </w:r>
          </w:p>
          <w:p>
            <w:pPr>
              <w:pStyle w:val="Heading4"/>
              <w:keepNext/>
              <w:keepLines/>
            </w:pPr>
            <w:r>
              <w:rPr>
                <w:rFonts w:ascii="Times New Roman" w:hAnsi="Times New Roman" w:eastAsia="黑体"/>
                <w:b/>
                <w:sz w:val="24"/>
              </w:rPr>
              <w:t>（4）提供可复用的创作方法</w:t>
            </w:r>
          </w:p>
          <w:p>
            <w:pPr>
              <w:ind w:firstLine="420"/>
              <w:jc w:val="both"/>
            </w:pPr>
            <w:r>
              <w:rPr>
                <w:rFonts w:ascii="Times New Roman" w:hAnsi="Times New Roman" w:eastAsia="宋体"/>
                <w:b w:val="0"/>
                <w:sz w:val="24"/>
              </w:rPr>
              <w:t>拟交付包含创作步骤、新污染物科普材料、模板和使用说明的Skill包。</w:t>
            </w:r>
            <w:hyperlink r:id="rId18">
              <w:r>
                <w:rPr>
                  <w:rFonts w:ascii="Times New Roman" w:eastAsia="宋体"/>
                  <w:sz w:val="24"/>
                  <w:color w:val="222222"/>
                </w:rPr>
                <w:t>[9]</w:t>
              </w:r>
            </w:hyperlink>
            <w:r>
              <w:rPr>
                <w:rFonts w:ascii="Times New Roman" w:hAnsi="Times New Roman" w:eastAsia="宋体"/>
                <w:b w:val="0"/>
                <w:sz w:val="24"/>
              </w:rPr>
              <w:t>每份知识材料保留对应对象、来源和适用条件，其他人可以替换个人素材继续创作，也能查到讲解依据。这样分享的不只是一个成品，还有继续制作新作品的方法，内容则按核对进展逐步补充。</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关注有日常拍照经验的成年公众，首轮可在校园及周边招募，保留不同的拍照与分享习惯。研究以新污染物科普为主题，拟把照片选取、人工确认及后续AI建议、三维场景、热点三步说明、盒子收藏、艺术卡和公共档案接成一条创作流程。线上创作与分享是主线，线下提供同一流程的体验入口；具体内容从有政策和研究依据的生活情境中选取，按调研与核对进展确定。</w:t>
            </w:r>
          </w:p>
          <w:p>
            <w:pPr>
              <w:ind w:firstLine="420"/>
              <w:jc w:val="both"/>
            </w:pPr>
            <w:r>
              <w:rPr>
                <w:rFonts w:ascii="Times New Roman" w:hAnsi="Times New Roman" w:eastAsia="宋体"/>
                <w:b w:val="0"/>
                <w:sz w:val="24"/>
              </w:rPr>
              <w:t>具体要了解三个问题：自己的照片是否及怎样让人愿意参与；点击热点后，人能否说清当前主题的来源、相关环境过程或暴露途径，以及建议成立的前提；收到作品和Skill的人，能否回看并继续做一件作品。访谈与原型修改将围绕这些问题展开，分别观察美感、自愿选择和知识理解。公开与实际转发由参与者决定，拒绝公开同样提供设计反馈。</w:t>
            </w:r>
          </w:p>
          <w:p>
            <w:pPr>
              <w:ind w:firstLine="420"/>
              <w:jc w:val="both"/>
            </w:pPr>
            <w:r>
              <w:rPr>
                <w:rFonts w:ascii="Times New Roman" w:hAnsi="Times New Roman" w:eastAsia="宋体"/>
                <w:b w:val="0"/>
                <w:sz w:val="24"/>
              </w:rPr>
              <w:t>研究内容首先包括照片与科普主题怎样建立有依据的联系。照片中的物品、场所或生活活动可以提供提问线索，但许多科学信息需要查阅资料或由参与者补充。拟把照片中能确认的信息、需要进一步了解的情境和文献中的结论分别说明，再决定是否适合进入相关主题。相似的画面可能涉及不同用途或环境条件，不能只凭外观给任意照片附上污染结论；信息不足时保留未知或更换内容。</w:t>
            </w:r>
          </w:p>
          <w:p>
            <w:pPr>
              <w:ind w:firstLine="420"/>
              <w:jc w:val="both"/>
            </w:pPr>
            <w:r>
              <w:rPr>
                <w:rFonts w:ascii="Times New Roman" w:hAnsi="Times New Roman" w:eastAsia="宋体"/>
                <w:b w:val="0"/>
                <w:sz w:val="24"/>
              </w:rPr>
              <w:t>其次，需要建立便于核对的内容组织方法。对选用的新污染物主题，分别记录具体对象、可能来源、释放与迁移或暴露途径、潜在影响，以及资料的适用条件。哪些关系已有依据、哪些仍有不确定性，都要能查到相应说明。作品的三步讲解使用共同的阅读顺序，但每个主题的科学内容各有不同，不把某种来源、去向或作用直接套用到其他对象。涉及数量或风险判断时，也要区分资料中的结论与个人场景中的未知。</w:t>
            </w:r>
          </w:p>
          <w:p>
            <w:pPr>
              <w:ind w:firstLine="420"/>
              <w:jc w:val="both"/>
            </w:pPr>
            <w:r>
              <w:rPr>
                <w:rFonts w:ascii="Times New Roman" w:hAnsi="Times New Roman" w:eastAsia="宋体"/>
                <w:b w:val="0"/>
                <w:sz w:val="24"/>
              </w:rPr>
              <w:t>减少释放和合理防范的内容同样需要按对象准备。拟依据具体研究与可靠的公共信息，说明相关措施针对什么环节、在什么情况下适用，以及个人、企业和公共治理各自能够做什么。不同物质的生产、使用和处置要求可能不同，作品不提供一套适用于全部对象的生活建议。每份讲解材料都拟保留出处、条件和更新记录，并由专业人员核对后使用。研究将据此逐步形成可扩展的表达方法，而不是预先声称已经建成完整的多主题知识库。</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（1）文献与案例基础</w:t>
            </w:r>
          </w:p>
          <w:p>
            <w:pPr>
              <w:ind w:firstLine="420"/>
              <w:jc w:val="both"/>
            </w:pPr>
            <w:r>
              <w:rPr>
                <w:rFonts w:ascii="Times New Roman" w:hAnsi="Times New Roman" w:eastAsia="宋体"/>
                <w:b w:val="0"/>
                <w:sz w:val="24"/>
              </w:rPr>
              <w:t>已整理新污染物治理政策、科学传播研究和设计案例，保留内容出处与案例笔记，也已有供后续调整的访谈工具。这些材料用于准备提问、确定知识核对范围和判断设计取舍；面向不同对象的具体讲解仍需分别准备，并接受专业核对与真实参与者反馈。</w:t>
            </w:r>
          </w:p>
          <w:p>
            <w:pPr>
              <w:pStyle w:val="Heading3"/>
              <w:keepNext/>
              <w:keepLines/>
            </w:pPr>
            <w:r>
              <w:rPr>
                <w:rFonts w:ascii="Times New Roman" w:hAnsi="Times New Roman" w:eastAsia="黑体"/>
                <w:b/>
                <w:sz w:val="24"/>
              </w:rPr>
              <w:t>（2）照片空间与物体操作</w:t>
            </w:r>
          </w:p>
          <w:p>
            <w:pPr>
              <w:ind w:firstLine="420"/>
              <w:jc w:val="both"/>
            </w:pPr>
            <w:r>
              <w:rPr>
                <w:rFonts w:ascii="Times New Roman" w:hAnsi="Times New Roman" w:eastAsia="宋体"/>
                <w:b w:val="0"/>
                <w:sz w:val="24"/>
              </w:rPr>
              <w:t>独立数字原型已接入实际三维高斯数据和照片导入。所用SHARP工具从单张照片估计三维空间，生成的场景由许多有颜色、大小和透明度的小斑块组成，能够在附近位置换角度观看。</w:t>
            </w:r>
            <w:hyperlink r:id="rId19">
              <w:r>
                <w:rPr>
                  <w:rFonts w:ascii="Times New Roman" w:eastAsia="宋体"/>
                  <w:sz w:val="24"/>
                  <w:color w:val="222222"/>
                </w:rPr>
                <w:t>[10]</w:t>
              </w:r>
            </w:hyperlink>
            <w:r>
              <w:rPr>
                <w:rFonts w:ascii="Times New Roman" w:hAnsi="Times New Roman" w:eastAsia="宋体"/>
                <w:b w:val="0"/>
                <w:sz w:val="24"/>
              </w:rPr>
              <w:t>原型支持局部高亮、变色，以及屏幕中盒子的抓取与收藏，保留照片纹理和空间层次。这一原型另行制作，保留Gemos Still原作。照片与三维场景提供生活线索和创作材料，不用于测定污染物是否存在、浓度或个人健康风险。已有技术功能将作为后续试测基础。</w:t>
            </w:r>
          </w:p>
          <w:p>
            <w:pPr>
              <w:pStyle w:val="Heading3"/>
              <w:keepNext/>
              <w:keepLines/>
            </w:pPr>
            <w:r>
              <w:rPr>
                <w:rFonts w:ascii="Times New Roman" w:hAnsi="Times New Roman" w:eastAsia="黑体"/>
                <w:b/>
                <w:sz w:val="24"/>
              </w:rPr>
              <w:t>（3）卡片与公共档案</w:t>
            </w:r>
          </w:p>
          <w:p>
            <w:pPr>
              <w:ind w:firstLine="420"/>
              <w:jc w:val="both"/>
            </w:pPr>
            <w:r>
              <w:rPr>
                <w:rFonts w:ascii="Times New Roman" w:hAnsi="Times New Roman" w:eastAsia="宋体"/>
                <w:b w:val="0"/>
                <w:sz w:val="24"/>
              </w:rPr>
              <w:t>已有一套固定卡片排版，可以替换照片、盒子画面、名字和二维码；本机与公共档案能够保存照片及模型，公开记录支持扫码回看和撤回。这说明创作后的保存与回看流程已有基础，卡片样式、阅读理解及使用感受仍待试测。</w:t>
            </w:r>
          </w:p>
          <w:p>
            <w:pPr>
              <w:pStyle w:val="Heading3"/>
              <w:keepNext/>
              <w:keepLines/>
            </w:pPr>
            <w:r>
              <w:rPr>
                <w:rFonts w:ascii="Times New Roman" w:hAnsi="Times New Roman" w:eastAsia="黑体"/>
                <w:b/>
                <w:sz w:val="24"/>
              </w:rPr>
              <w:t>（4）创作方法包与研究准备</w:t>
            </w:r>
          </w:p>
          <w:p>
            <w:pPr>
              <w:ind w:firstLine="420"/>
              <w:jc w:val="both"/>
            </w:pPr>
            <w:r>
              <w:rPr>
                <w:rFonts w:ascii="Times New Roman" w:hAnsi="Times New Roman" w:eastAsia="宋体"/>
                <w:b w:val="0"/>
                <w:sz w:val="24"/>
              </w:rPr>
              <w:t>当前场景适配由人工确认，AI自动建议和知识关联、可分发Skill、进一步画面效果及实体入口仍待制作。科学内容的专业核对与本轮用户研究尚未完成；在手机上从照片生成三维场景的完整过程及真实触摸也需要实测，这些将与数字原型的已有功能分开记录。</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创作拟从参与者自选的日常场景照片开始，先判断画面是否提供了适合讨论的新污染物线索。可见的物件、使用活动和环境背景需要结合资料及本人补充来理解，相关用途或条件不清楚时先询问、查证。当前由人工确认，后续拟让AI提出主题建议，再由设计者核对。纯人脸自拍暂不进入这条以场景为主的路线，是本作品的选图规则，并不表示这类照片完全没有环境关联。没有合适依据时，可以换照片，或只进行图像创作而不附污染物结论。</w:t>
            </w:r>
          </w:p>
          <w:p>
            <w:pPr>
              <w:ind w:firstLine="420"/>
              <w:jc w:val="both"/>
            </w:pPr>
            <w:r>
              <w:rPr>
                <w:rFonts w:ascii="Times New Roman" w:hAnsi="Times New Roman" w:eastAsia="宋体"/>
                <w:b w:val="0"/>
                <w:sz w:val="24"/>
              </w:rPr>
              <w:t>观众把照片放入三维场景，点击与当前主题有关的可点选发光位置，称为“热点”，依次查看来源、潜在影响和减少释放的说明。其中会按具体对象讲清相关环境过程或暴露途径，不将不同物质表现成相同变化。设计者核对热点的位置与范围，拟用轮廓、简短标签和形态变化提示当前环节。原型已有局部高亮和变色；进一步的运动、散开或湍流效果仍待制作。光点的数量和颜色服务于讲解，不代表照片测出的污染物，每一步都保留条件与来源入口。</w:t>
            </w:r>
          </w:p>
          <w:p>
            <w:pPr>
              <w:ind w:firstLine="420"/>
              <w:jc w:val="both"/>
            </w:pPr>
            <w:r>
              <w:rPr>
                <w:rFonts w:ascii="Times New Roman" w:hAnsi="Times New Roman" w:eastAsia="宋体"/>
                <w:b w:val="0"/>
                <w:sz w:val="24"/>
              </w:rPr>
              <w:t>完成探索后，观众把屏幕中的小盒子从键盘底座拖起、放入收藏托盘，得到“自己的照片＋盒子＋二维码”的艺术卡。卡片拟保留关键知识和适用条件，扫码页面提供完整解释与出处。本机收藏由本人回看；本人选择公开后，朋友才能跨设备查看。公共档案保存实际提交的艺术作品，既让参与者保留个人画面与名字，也让人看到其他人的创作；它不构成地区污染监测数据。</w:t>
            </w:r>
          </w:p>
          <w:p>
            <w:pPr>
              <w:ind w:firstLine="420"/>
              <w:jc w:val="both"/>
            </w:pPr>
            <w:r>
              <w:rPr>
                <w:rFonts w:ascii="Times New Roman" w:hAnsi="Times New Roman" w:eastAsia="宋体"/>
                <w:b w:val="0"/>
                <w:sz w:val="24"/>
              </w:rPr>
              <w:t>扫码回看现有作品与使用Skill另做一件作品，是两种后续参与。拟制作的Skill包将写清选图、核对科学材料、组织讲解和生成画面的步骤，附模板、示例、来源记录与使用说明。下一位创作者可以替换个人素材，但科学说明及其前提应随作品保留。主要操作安排在照片卡、热点、盒子与托盘上，必要设置用简短弹层。线上创作与分享为主线，线下入口接入同一流程；卡片独立阅读和Skill复用将由后续试测检查。</w:t>
            </w:r>
          </w:p>
          <w:p>
            <w:pPr>
              <w:pStyle w:val="Heading2"/>
              <w:keepNext/>
              <w:keepLines/>
            </w:pPr>
            <w:r>
              <w:rPr>
                <w:rFonts w:ascii="Times New Roman" w:hAnsi="Times New Roman" w:eastAsia="黑体"/>
                <w:b/>
                <w:sz w:val="24"/>
              </w:rPr>
              <w:t>3.2 方案草图</w:t>
            </w:r>
          </w:p>
          <w:p>
            <w:pPr>
              <w:keepNext/>
              <w:spacing w:line="240" w:lineRule="auto"/>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03-system-sharing.png"/>
                          <pic:cNvPicPr/>
                        </pic:nvPicPr>
                        <pic:blipFill>
                          <a:blip r:embed="rId20"/>
                          <a:stretch>
                            <a:fillRect/>
                          </a:stretch>
                        </pic:blipFill>
                        <pic:spPr>
                          <a:xfrm>
                            <a:off x="0" y="0"/>
                            <a:ext cx="5544000" cy="3118500"/>
                          </a:xfrm>
                          <a:prstGeom prst="rect"/>
                        </pic:spPr>
                      </pic:pic>
                    </a:graphicData>
                  </a:graphic>
                </wp:inline>
              </w:drawing>
            </w:r>
          </w:p>
          <w:p>
            <w:pPr>
              <w:jc w:val="center"/>
            </w:pPr>
            <w:r>
              <w:rPr>
                <w:rFonts w:ascii="Times New Roman" w:hAnsi="Times New Roman" w:eastAsia="宋体"/>
                <w:b w:val="0"/>
                <w:sz w:val="20"/>
              </w:rPr>
              <w:t>照片怎样进入作品、保存成卡片并邀请他人再创作（设计构想草图）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1">
              <w:r>
                <w:rPr>
                  <w:rFonts w:ascii="Times New Roman" w:eastAsia="宋体"/>
                  <w:sz w:val="24"/>
                  <w:color w:val="222222"/>
                </w:rPr>
                <w:t>[11]</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NATIONS ENVIRONMENT PROGRAMME. Beat Pollution[EB/OL]. [2026-10-07].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DAHLSTROM M F. Using narratives and storytelling to communicate science with nonexpert audiences[J]. Proceedings of the National Academy of Sciences, 2014, 111(Suppl 4): 13614–13620.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中央美术学院. 精彩“云”课｜响应式环境：“海洋增强”1 / 景斯阳·设计学院[EB/OL]. (2020-04-03)[2026-10-07].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俞放. 科普展品说明牌的可视化设计研究[EB/OL]. (2026-06-19)[2026-10-07].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AGENT SKILLS. Specification[EB/OL]. [2026-10-07].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MESCHEDER L, DONG W, LI S, et al. Sharp Monocular View Synthesis in Less Than a Second[C/OL]//ICLR. 2026[2026-10-07].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HARPER D. Talking about pictures: A case for photo elicitation[J]. Visual Studies, 2002, 17(1): 13–26. </w:t>
            </w:r>
            <w:hyperlink r:id="rId21">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unep.org/beatpollution/" TargetMode="External"/><Relationship Id="rId15" Type="http://schemas.openxmlformats.org/officeDocument/2006/relationships/hyperlink" Target="https://pmc.ncbi.nlm.nih.gov/articles/PMC4183170/" TargetMode="External"/><Relationship Id="rId16" Type="http://schemas.openxmlformats.org/officeDocument/2006/relationships/hyperlink" Target="https://www.cafa.edu.cn/st/2020/90120394.htm" TargetMode="External"/><Relationship Id="rId17" Type="http://schemas.openxmlformats.org/officeDocument/2006/relationships/hyperlink" Target="https://www.nnhm.org.cn/kxyj/bwgxdt/bwgxdt/4028c1089e326a16019ea63bf05e02f9.shtml" TargetMode="External"/><Relationship Id="rId18" Type="http://schemas.openxmlformats.org/officeDocument/2006/relationships/hyperlink" Target="https://agentskills.io/specification" TargetMode="External"/><Relationship Id="rId19" Type="http://schemas.openxmlformats.org/officeDocument/2006/relationships/hyperlink" Target="https://arxiv.org/abs/2512.10685" TargetMode="External"/><Relationship Id="rId20" Type="http://schemas.openxmlformats.org/officeDocument/2006/relationships/image" Target="media/image1.png"/><Relationship Id="rId21"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