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填表日期：2026年10月15日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br/>
            </w: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（1）理论意义</w:t>
            </w:r>
          </w:p>
          <w:p>
            <w:pPr>
              <w:ind w:firstLine="420"/>
              <w:jc w:val="both"/>
            </w:pPr>
            <w:r>
              <w:rPr>
                <w:rFonts w:ascii="Times New Roman" w:hAnsi="Times New Roman" w:eastAsia="宋体"/>
                <w:b w:val="0"/>
                <w:sz w:val="24"/>
              </w:rPr>
              <w:t>本研究将参与式交互的设计思路应用于新污染物科普，关注公众如何从日常生活经验出发，理解不容易直观察觉的污染问题。研究拟探索科普信息的表达、主动参与和知识理解之间的关系，分析选择、探索和反馈如何帮助公众看清污染物的来源、环境过程与可能影响，以及个人经验如何影响参与和交流的意愿。研究将从这些关系中总结适合新污染物议题的信息组织和交互引导方法，探索科学表达、审美体验与知识理解怎样相互配合，为参与式交互在环境科普中的应用补充设计经验，也为信息与交互设计领域的科普研究提供参考。</w:t>
            </w:r>
          </w:p>
          <w:p>
            <w:pPr>
              <w:pStyle w:val="Heading3"/>
              <w:keepNext/>
              <w:keepLines/>
            </w:pPr>
            <w:r>
              <w:rPr>
                <w:rFonts w:ascii="Times New Roman" w:hAnsi="Times New Roman" w:eastAsia="黑体"/>
                <w:b/>
                <w:sz w:val="24"/>
              </w:rPr>
              <w:t>（2）实践价值</w:t>
            </w:r>
          </w:p>
          <w:p>
            <w:pPr>
              <w:ind w:firstLine="420"/>
              <w:jc w:val="both"/>
            </w:pPr>
            <w:r>
              <w:rPr>
                <w:rFonts w:ascii="Times New Roman" w:hAnsi="Times New Roman" w:eastAsia="宋体"/>
                <w:b w:val="0"/>
                <w:sz w:val="24"/>
              </w:rPr>
              <w:t>新污染物科普的实践价值，在于帮助公众把陌生的专业知识与自身生活联系起来。本研究从公众的疑问和信息需求出发，探索更容易理解、便于参与和交流的表达方式，旨在帮助公众认识有关物质为什么受到关注，其生产、使用和处置与环境有什么联系，以及个人能够参与哪些合理的防范和治理环节，同时理解企业与公共治理承担的责任。对于科普创作者，研究将整理如何把专业概念转化为生活问题、如何组织来源与影响的说明、如何通过交互反馈帮助理解，以及如何让知识在分享中继续被阅读等设计经验。研究还将分别考察公众的知识理解、参与意愿和主动分享，为后续改进科普内容与传播方式提供依据，支持新污染物知识进入日常交流。</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面向有日常拍照经验的成年公众，针对新污染物与生活情境的联系难以被直观认识的问题，拟结合AI图像理解、单图三维生成与收集机制，设计面向多端的科普交互应用。用户通过自由拍摄或上传照片寻找日常线索，AI先检查图像是否可用，再依据经核对的资料，从可见物品或活动中关联一个科普主题，不以照片判断污染物实际存在。原照片转为可转动观看的三维场景并置于收藏盒中，同时按自主设计的美学模板另行生成艺术卡，模拟机器吐片的过程。关联成功时，卡片呈现主题标识与简短解释，扫码可阅读详细知识和出处；盒子则在仓库式主页中保存个人场景。照片可用即可生成盒子和艺术卡，有可靠关联时才点亮图鉴，暂以16个科普条目探索收集机制。研究将通过用户调研与原型试测，考察个人照片的熟悉感、艺术生成的期待和收集反馈如何支持参与、认识日常关联与自愿分享。</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（1）文献与案例研究</w:t>
            </w:r>
          </w:p>
          <w:p>
            <w:pPr>
              <w:ind w:firstLine="420"/>
              <w:jc w:val="both"/>
            </w:pPr>
            <w:r>
              <w:rPr>
                <w:rFonts w:ascii="Times New Roman" w:hAnsi="Times New Roman" w:eastAsia="宋体"/>
                <w:b w:val="0"/>
                <w:sz w:val="24"/>
              </w:rPr>
              <w:t>已梳理新污染物治理政策、科学传播研究及交互科普案例，整理来源与案例笔记，为选择日常情境、组织科普内容和分析参与方式提供依据。</w:t>
            </w:r>
          </w:p>
          <w:p>
            <w:pPr>
              <w:pStyle w:val="Heading3"/>
              <w:keepNext/>
              <w:keepLines/>
            </w:pPr>
            <w:r>
              <w:rPr>
                <w:rFonts w:ascii="Times New Roman" w:hAnsi="Times New Roman" w:eastAsia="黑体"/>
                <w:b/>
                <w:sz w:val="24"/>
              </w:rPr>
              <w:t>（2）单图三维技术探索</w:t>
            </w:r>
          </w:p>
          <w:p>
            <w:pPr>
              <w:ind w:firstLine="420"/>
              <w:jc w:val="both"/>
            </w:pPr>
            <w:r>
              <w:rPr>
                <w:rFonts w:ascii="Times New Roman" w:hAnsi="Times New Roman" w:eastAsia="宋体"/>
                <w:b w:val="0"/>
                <w:sz w:val="24"/>
              </w:rPr>
              <w:t>已在独立原型中接入SHARP单图三维生成与高斯场景显示，支持照片导入和邻近视角观看。</w:t>
            </w:r>
            <w:hyperlink r:id="rId21">
              <w:r>
                <w:rPr>
                  <w:rFonts w:ascii="Times New Roman" w:eastAsia="宋体"/>
                  <w:sz w:val="24"/>
                  <w:color w:val="222222"/>
                </w:rPr>
                <w:t>[12]</w:t>
              </w:r>
            </w:hyperlink>
            <w:r>
              <w:rPr>
                <w:rFonts w:ascii="Times New Roman" w:hAnsi="Times New Roman" w:eastAsia="宋体"/>
                <w:b w:val="0"/>
                <w:sz w:val="24"/>
              </w:rPr>
              <w:t>该基础用于保留原照片的空间感，支持盒子的展示与收藏。</w:t>
            </w:r>
          </w:p>
          <w:p>
            <w:pPr>
              <w:pStyle w:val="Heading3"/>
              <w:keepNext/>
              <w:keepLines/>
            </w:pPr>
            <w:r>
              <w:rPr>
                <w:rFonts w:ascii="Times New Roman" w:hAnsi="Times New Roman" w:eastAsia="黑体"/>
                <w:b/>
                <w:sz w:val="24"/>
              </w:rPr>
              <w:t>（3）卡片与档案原型</w:t>
            </w:r>
          </w:p>
          <w:p>
            <w:pPr>
              <w:ind w:firstLine="420"/>
              <w:jc w:val="both"/>
            </w:pPr>
            <w:r>
              <w:rPr>
                <w:rFonts w:ascii="Times New Roman" w:hAnsi="Times New Roman" w:eastAsia="宋体"/>
                <w:b w:val="0"/>
                <w:sz w:val="24"/>
              </w:rPr>
              <w:t>已完成固定版式卡片、二维码及作品档案的初步流程，支持保存、扫码回看和撤回公开记录，为艺术卡输出与分享提供基础；AI风格化生成仍属后续设计。</w:t>
            </w:r>
          </w:p>
          <w:p>
            <w:pPr>
              <w:pStyle w:val="Heading3"/>
              <w:keepNext/>
              <w:keepLines/>
            </w:pPr>
            <w:r>
              <w:rPr>
                <w:rFonts w:ascii="Times New Roman" w:hAnsi="Times New Roman" w:eastAsia="黑体"/>
                <w:b/>
                <w:sz w:val="24"/>
              </w:rPr>
              <w:t>（4）用户研究准备</w:t>
            </w:r>
          </w:p>
          <w:p>
            <w:pPr>
              <w:ind w:firstLine="420"/>
              <w:jc w:val="both"/>
            </w:pPr>
            <w:r>
              <w:rPr>
                <w:rFonts w:ascii="Times New Roman" w:hAnsi="Times New Roman" w:eastAsia="宋体"/>
                <w:b w:val="0"/>
                <w:sz w:val="24"/>
              </w:rPr>
              <w:t>已准备照片访谈提纲与观察工具，拟从校园及周边开展首轮调研，了解拍摄、收藏与分享习惯，据此完善主题关联规则、美学模板与交互流程。</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w:t>
            </w:r>
            <w:hyperlink r:id="rId22">
              <w:r>
                <w:rPr>
                  <w:rFonts w:ascii="Times New Roman" w:eastAsia="宋体"/>
                  <w:sz w:val="24"/>
                  <w:color w:val="222222"/>
                </w:rPr>
                <w:t>[13]</w:t>
              </w:r>
            </w:hyperlink>
            <w:r>
              <w:rPr>
                <w:rFonts w:ascii="Times New Roman" w:hAnsi="Times New Roman" w:eastAsia="宋体"/>
                <w:b w:val="0"/>
                <w:sz w:val="24"/>
              </w:rPr>
              <w:t>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br/>
            </w: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MESCHEDER L, DONG W, LI S, et al. Sharp Monocular View Synthesis in Less Than a Second[C/OL]//ICLR. 2026[2026-10-07].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AGENT SKILLS. Specification[EB/OL]. [2026-10-07].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rxiv.org/abs/2512.10685" TargetMode="External"/><Relationship Id="rId22" Type="http://schemas.openxmlformats.org/officeDocument/2006/relationships/hyperlink" Target="https://agentskills.io/specification"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