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E69ED" w14:textId="77777777" w:rsidR="00EA2D43" w:rsidRPr="009B3C1A" w:rsidRDefault="00000000">
      <w:pPr>
        <w:pStyle w:val="Heading1"/>
        <w:spacing w:line="240" w:lineRule="auto"/>
        <w:jc w:val="center"/>
        <w:rPr>
          <w:rFonts w:ascii="Times New Roman" w:eastAsia="Times New Roman" w:hAnsi="Times New Roman" w:cs="Times New Roman"/>
          <w:color w:val="000000" w:themeColor="text1"/>
        </w:rPr>
      </w:pPr>
      <w:bookmarkStart w:id="0" w:name="_cjc7valzv4em" w:colFirst="0" w:colLast="0"/>
      <w:bookmarkEnd w:id="0"/>
      <w:r w:rsidRPr="009B3C1A">
        <w:rPr>
          <w:rFonts w:ascii="Times New Roman" w:eastAsia="Times New Roman" w:hAnsi="Times New Roman" w:cs="Times New Roman"/>
          <w:color w:val="000000" w:themeColor="text1"/>
        </w:rPr>
        <w:t>Trinomial Tree Models for Option Pricing: A Comparative Study of European and American Options with and without Dividends</w:t>
      </w:r>
    </w:p>
    <w:p w14:paraId="20B26A96"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br/>
        <w:t>Author</w:t>
      </w:r>
      <w:r w:rsidRPr="009B3C1A">
        <w:rPr>
          <w:rFonts w:ascii="Times New Roman" w:eastAsia="Times New Roman" w:hAnsi="Times New Roman" w:cs="Times New Roman"/>
          <w:color w:val="000000" w:themeColor="text1"/>
          <w:sz w:val="24"/>
          <w:szCs w:val="24"/>
        </w:rPr>
        <w:t>: Duoduo Yao</w:t>
      </w:r>
    </w:p>
    <w:p w14:paraId="77AFCCE3" w14:textId="77777777" w:rsidR="00EA2D43" w:rsidRPr="009B3C1A" w:rsidRDefault="00BC4AF1">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6D4A2EBD">
          <v:rect id="_x0000_i1030" alt="" style="width:468pt;height:.05pt;mso-width-percent:0;mso-height-percent:0;mso-width-percent:0;mso-height-percent:0" o:hralign="center" o:hrstd="t" o:hr="t" fillcolor="#a0a0a0" stroked="f"/>
        </w:pict>
      </w:r>
    </w:p>
    <w:p w14:paraId="2E541CD9"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1" w:name="_tmtvm9lo40yx" w:colFirst="0" w:colLast="0"/>
      <w:bookmarkEnd w:id="1"/>
      <w:r w:rsidRPr="009B3C1A">
        <w:rPr>
          <w:rFonts w:ascii="Times New Roman" w:eastAsia="Times New Roman" w:hAnsi="Times New Roman" w:cs="Times New Roman"/>
          <w:b/>
          <w:bCs/>
          <w:color w:val="000000" w:themeColor="text1"/>
        </w:rPr>
        <w:t>1. Introduction</w:t>
      </w:r>
    </w:p>
    <w:p w14:paraId="6BE37863" w14:textId="6FB2BD55"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Trinomial tree models extend the binomial framework by introducing a third branch at each node, enabling more accurate approximations of continuous-time stochastic processes. While binomial trees discretize asset price movements into "up" or "down" states, trinomial trees add a "middle" state, improving convergence rates to the Black-Scholes solution</w:t>
      </w:r>
      <w:r w:rsidR="00697359">
        <w:rPr>
          <w:rFonts w:ascii="Times New Roman" w:eastAsia="Times New Roman" w:hAnsi="Times New Roman" w:cs="Times New Roman"/>
          <w:color w:val="000000" w:themeColor="text1"/>
          <w:sz w:val="24"/>
          <w:szCs w:val="24"/>
        </w:rPr>
        <w:t xml:space="preserve">. </w:t>
      </w:r>
      <w:r w:rsidRPr="009B3C1A">
        <w:rPr>
          <w:rFonts w:ascii="Times New Roman" w:eastAsia="Times New Roman" w:hAnsi="Times New Roman" w:cs="Times New Roman"/>
          <w:color w:val="000000" w:themeColor="text1"/>
          <w:sz w:val="24"/>
          <w:szCs w:val="24"/>
        </w:rPr>
        <w:t>This paper implements a trinomial tree model to price European and American options under dividend and no-dividend scenarios. We analyze the model’s convergence behavior, computational efficiency, and its ability to handle early exercise features.</w:t>
      </w:r>
    </w:p>
    <w:p w14:paraId="108E59B7"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p w14:paraId="40147C99"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Objectives</w:t>
      </w:r>
      <w:r w:rsidRPr="009B3C1A">
        <w:rPr>
          <w:rFonts w:ascii="Times New Roman" w:eastAsia="Times New Roman" w:hAnsi="Times New Roman" w:cs="Times New Roman"/>
          <w:color w:val="000000" w:themeColor="text1"/>
          <w:sz w:val="24"/>
          <w:szCs w:val="24"/>
        </w:rPr>
        <w:t>:</w:t>
      </w:r>
    </w:p>
    <w:p w14:paraId="6CFCDF7B"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Compare convergence rates of European options to Black-Scholes prices.</w:t>
      </w:r>
    </w:p>
    <w:p w14:paraId="3C167316"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Quantify the early exercise premium for American options.</w:t>
      </w:r>
    </w:p>
    <w:p w14:paraId="4449E124"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Evaluate the impact of dividends on call/put pricing.</w:t>
      </w:r>
    </w:p>
    <w:p w14:paraId="614F0D39" w14:textId="77777777" w:rsidR="00EA2D43" w:rsidRPr="009B3C1A" w:rsidRDefault="00000000">
      <w:pPr>
        <w:numPr>
          <w:ilvl w:val="0"/>
          <w:numId w:val="2"/>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Assess computational complexity as time steps (N) increase.</w:t>
      </w:r>
    </w:p>
    <w:p w14:paraId="30BB3A2B" w14:textId="77777777" w:rsidR="00EA2D43" w:rsidRPr="009B3C1A" w:rsidRDefault="00BC4AF1">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7E0FEBB9">
          <v:rect id="_x0000_i1029" alt="" style="width:468pt;height:.05pt;mso-width-percent:0;mso-height-percent:0;mso-width-percent:0;mso-height-percent:0" o:hralign="center" o:hrstd="t" o:hr="t" fillcolor="#a0a0a0" stroked="f"/>
        </w:pict>
      </w:r>
    </w:p>
    <w:p w14:paraId="19B36422"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2" w:name="_88ckcpvh6mya" w:colFirst="0" w:colLast="0"/>
      <w:bookmarkEnd w:id="2"/>
      <w:r w:rsidRPr="009B3C1A">
        <w:rPr>
          <w:rFonts w:ascii="Times New Roman" w:eastAsia="Times New Roman" w:hAnsi="Times New Roman" w:cs="Times New Roman"/>
          <w:b/>
          <w:bCs/>
          <w:color w:val="000000" w:themeColor="text1"/>
        </w:rPr>
        <w:t>2. Methodology</w:t>
      </w:r>
    </w:p>
    <w:p w14:paraId="12151E08"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2.1. Trinomial Tree Framework</w:t>
      </w:r>
    </w:p>
    <w:p w14:paraId="4F2DDCCA"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tree is constructed using risk-neutral probabilities derived from the Cox-Ross-Rubinstein parameters. For a time step </w:t>
      </w:r>
      <w:proofErr w:type="spellStart"/>
      <w:r w:rsidRPr="009B3C1A">
        <w:rPr>
          <w:rFonts w:ascii="Times New Roman" w:eastAsia="Times New Roman" w:hAnsi="Times New Roman" w:cs="Times New Roman"/>
          <w:color w:val="000000" w:themeColor="text1"/>
          <w:sz w:val="24"/>
          <w:szCs w:val="24"/>
        </w:rPr>
        <w:t>Δt</w:t>
      </w:r>
      <w:proofErr w:type="spellEnd"/>
      <w:r w:rsidRPr="009B3C1A">
        <w:rPr>
          <w:rFonts w:ascii="Times New Roman" w:eastAsia="Times New Roman" w:hAnsi="Times New Roman" w:cs="Times New Roman"/>
          <w:color w:val="000000" w:themeColor="text1"/>
          <w:sz w:val="24"/>
          <w:szCs w:val="24"/>
        </w:rPr>
        <w:t>:</w:t>
      </w:r>
    </w:p>
    <w:p w14:paraId="725D04CA" w14:textId="77777777" w:rsidR="00732C55" w:rsidRPr="00732C55" w:rsidRDefault="00000000">
      <w:pPr>
        <w:numPr>
          <w:ilvl w:val="0"/>
          <w:numId w:val="6"/>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Up/down factors</w:t>
      </w:r>
      <w:r w:rsidRPr="009B3C1A">
        <w:rPr>
          <w:rFonts w:ascii="Times New Roman" w:eastAsia="Times New Roman" w:hAnsi="Times New Roman" w:cs="Times New Roman"/>
          <w:color w:val="000000" w:themeColor="text1"/>
          <w:sz w:val="24"/>
          <w:szCs w:val="24"/>
        </w:rPr>
        <w:t>:</w:t>
      </w:r>
      <w:r w:rsidR="00732C55" w:rsidRPr="00732C55">
        <w:rPr>
          <w:rFonts w:ascii="Times New Roman" w:eastAsia="Times New Roman" w:hAnsi="Times New Roman" w:cs="Times New Roman"/>
          <w:noProof/>
          <w:color w:val="404040"/>
        </w:rPr>
        <w:t xml:space="preserve"> </w:t>
      </w:r>
    </w:p>
    <w:p w14:paraId="2D7C20F4" w14:textId="56F439DF" w:rsidR="00EA2D43" w:rsidRPr="00732C55" w:rsidRDefault="00732C55" w:rsidP="00732C55">
      <w:pPr>
        <w:spacing w:line="240" w:lineRule="auto"/>
        <w:ind w:left="720" w:firstLine="72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404040"/>
        </w:rPr>
        <w:drawing>
          <wp:inline distT="0" distB="0" distL="0" distR="0" wp14:anchorId="1B07AF16" wp14:editId="10D4B038">
            <wp:extent cx="2302042" cy="487585"/>
            <wp:effectExtent l="0" t="0" r="0" b="0"/>
            <wp:docPr id="242635629"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5629" name="Picture 1" descr="A black and white math equatio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014" cy="494569"/>
                    </a:xfrm>
                    <a:prstGeom prst="rect">
                      <a:avLst/>
                    </a:prstGeom>
                  </pic:spPr>
                </pic:pic>
              </a:graphicData>
            </a:graphic>
          </wp:inline>
        </w:drawing>
      </w:r>
    </w:p>
    <w:p w14:paraId="0E08F5E1" w14:textId="31FF7AA6" w:rsidR="00EA2D43" w:rsidRDefault="00000000">
      <w:pPr>
        <w:numPr>
          <w:ilvl w:val="0"/>
          <w:numId w:val="1"/>
        </w:numPr>
        <w:spacing w:after="60"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Risk-neutral probabilities</w:t>
      </w:r>
      <w:r w:rsidR="00697359">
        <w:rPr>
          <w:rFonts w:ascii="Times New Roman" w:eastAsia="Times New Roman" w:hAnsi="Times New Roman" w:cs="Times New Roman"/>
          <w:color w:val="000000" w:themeColor="text1"/>
          <w:sz w:val="24"/>
          <w:szCs w:val="24"/>
        </w:rPr>
        <w:t xml:space="preserve">: </w:t>
      </w:r>
    </w:p>
    <w:p w14:paraId="5F014F98" w14:textId="3ABE421E" w:rsidR="00732C55" w:rsidRPr="009B3C1A" w:rsidRDefault="00732C55" w:rsidP="003D0A6F">
      <w:pPr>
        <w:spacing w:after="60" w:line="240" w:lineRule="auto"/>
        <w:ind w:left="72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404040"/>
        </w:rPr>
        <w:drawing>
          <wp:inline distT="0" distB="0" distL="0" distR="0" wp14:anchorId="2FFB4A6C" wp14:editId="5662DCB0">
            <wp:extent cx="2708228" cy="922421"/>
            <wp:effectExtent l="0" t="0" r="0" b="5080"/>
            <wp:docPr id="947578178" name="Picture 2" descr="A mathematical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78178" name="Picture 2" descr="A mathematical equations and formula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9485" cy="936473"/>
                    </a:xfrm>
                    <a:prstGeom prst="rect">
                      <a:avLst/>
                    </a:prstGeom>
                  </pic:spPr>
                </pic:pic>
              </a:graphicData>
            </a:graphic>
          </wp:inline>
        </w:drawing>
      </w:r>
    </w:p>
    <w:p w14:paraId="08CD65EC" w14:textId="77777777" w:rsidR="00EA2D43" w:rsidRPr="009B3C1A" w:rsidRDefault="00000000">
      <w:pPr>
        <w:spacing w:before="60" w:line="240" w:lineRule="auto"/>
        <w:ind w:left="720"/>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where </w:t>
      </w:r>
      <w:r w:rsidRPr="009B3C1A">
        <w:rPr>
          <w:rFonts w:ascii="Times New Roman" w:eastAsia="Times New Roman" w:hAnsi="Times New Roman" w:cs="Times New Roman"/>
          <w:i/>
          <w:color w:val="000000" w:themeColor="text1"/>
          <w:sz w:val="24"/>
          <w:szCs w:val="24"/>
        </w:rPr>
        <w:t>q</w:t>
      </w:r>
      <w:r w:rsidRPr="009B3C1A">
        <w:rPr>
          <w:rFonts w:ascii="Times New Roman" w:eastAsia="Times New Roman" w:hAnsi="Times New Roman" w:cs="Times New Roman"/>
          <w:color w:val="000000" w:themeColor="text1"/>
          <w:sz w:val="24"/>
          <w:szCs w:val="24"/>
        </w:rPr>
        <w:t xml:space="preserve"> is the dividend yield. Dividends are modeled as a continuous yield adjusting the risk-free rate </w:t>
      </w:r>
      <w:r w:rsidRPr="009B3C1A">
        <w:rPr>
          <w:rFonts w:ascii="Times New Roman" w:eastAsia="Times New Roman" w:hAnsi="Times New Roman" w:cs="Times New Roman"/>
          <w:i/>
          <w:color w:val="000000" w:themeColor="text1"/>
          <w:sz w:val="24"/>
          <w:szCs w:val="24"/>
        </w:rPr>
        <w:t xml:space="preserve">r </w:t>
      </w:r>
      <w:r w:rsidRPr="009B3C1A">
        <w:rPr>
          <w:rFonts w:ascii="Times New Roman" w:eastAsia="Cardo" w:hAnsi="Times New Roman" w:cs="Times New Roman"/>
          <w:color w:val="000000" w:themeColor="text1"/>
          <w:sz w:val="24"/>
          <w:szCs w:val="24"/>
        </w:rPr>
        <w:t xml:space="preserve">→ </w:t>
      </w:r>
      <w:r w:rsidRPr="009B3C1A">
        <w:rPr>
          <w:rFonts w:ascii="Times New Roman" w:eastAsia="Times New Roman" w:hAnsi="Times New Roman" w:cs="Times New Roman"/>
          <w:i/>
          <w:color w:val="000000" w:themeColor="text1"/>
          <w:sz w:val="24"/>
          <w:szCs w:val="24"/>
        </w:rPr>
        <w:t xml:space="preserve">r </w:t>
      </w:r>
      <w:r w:rsidRPr="009B3C1A">
        <w:rPr>
          <w:rFonts w:ascii="Times New Roman" w:eastAsia="Gungsuh" w:hAnsi="Times New Roman" w:cs="Times New Roman"/>
          <w:color w:val="000000" w:themeColor="text1"/>
          <w:sz w:val="24"/>
          <w:szCs w:val="24"/>
        </w:rPr>
        <w:t xml:space="preserve">− </w:t>
      </w:r>
      <w:r w:rsidRPr="009B3C1A">
        <w:rPr>
          <w:rFonts w:ascii="Times New Roman" w:eastAsia="Times New Roman" w:hAnsi="Times New Roman" w:cs="Times New Roman"/>
          <w:i/>
          <w:color w:val="000000" w:themeColor="text1"/>
          <w:sz w:val="24"/>
          <w:szCs w:val="24"/>
        </w:rPr>
        <w:t>q</w:t>
      </w:r>
      <w:r w:rsidRPr="009B3C1A">
        <w:rPr>
          <w:rFonts w:ascii="Times New Roman" w:eastAsia="Times New Roman" w:hAnsi="Times New Roman" w:cs="Times New Roman"/>
          <w:color w:val="000000" w:themeColor="text1"/>
          <w:sz w:val="24"/>
          <w:szCs w:val="24"/>
        </w:rPr>
        <w:t>.</w:t>
      </w:r>
    </w:p>
    <w:p w14:paraId="4ACBD684"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2.2. Backward Induction</w:t>
      </w:r>
    </w:p>
    <w:p w14:paraId="08F1603F" w14:textId="77777777" w:rsidR="00EA2D43" w:rsidRPr="009B3C1A" w:rsidRDefault="00000000">
      <w:pPr>
        <w:numPr>
          <w:ilvl w:val="0"/>
          <w:numId w:val="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lastRenderedPageBreak/>
        <w:t>European options</w:t>
      </w:r>
      <w:r w:rsidRPr="009B3C1A">
        <w:rPr>
          <w:rFonts w:ascii="Times New Roman" w:eastAsia="Times New Roman" w:hAnsi="Times New Roman" w:cs="Times New Roman"/>
          <w:color w:val="000000" w:themeColor="text1"/>
          <w:sz w:val="24"/>
          <w:szCs w:val="24"/>
        </w:rPr>
        <w:t>: Value nodes using discounted expected payoffs.</w:t>
      </w:r>
    </w:p>
    <w:p w14:paraId="2F05FFA5" w14:textId="77777777" w:rsidR="00EA2D43" w:rsidRPr="009B3C1A" w:rsidRDefault="00000000">
      <w:pPr>
        <w:numPr>
          <w:ilvl w:val="0"/>
          <w:numId w:val="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American options</w:t>
      </w:r>
      <w:r w:rsidRPr="009B3C1A">
        <w:rPr>
          <w:rFonts w:ascii="Times New Roman" w:eastAsia="Times New Roman" w:hAnsi="Times New Roman" w:cs="Times New Roman"/>
          <w:color w:val="000000" w:themeColor="text1"/>
          <w:sz w:val="24"/>
          <w:szCs w:val="24"/>
        </w:rPr>
        <w:t>: Compare intrinsic value (early exercise) against continuation value at each node.</w:t>
      </w:r>
    </w:p>
    <w:p w14:paraId="142D1D9C"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Parameters</w:t>
      </w:r>
      <w:r w:rsidRPr="009B3C1A">
        <w:rPr>
          <w:rFonts w:ascii="Times New Roman" w:eastAsia="Times New Roman" w:hAnsi="Times New Roman" w:cs="Times New Roman"/>
          <w:color w:val="000000" w:themeColor="text1"/>
          <w:sz w:val="24"/>
          <w:szCs w:val="24"/>
        </w:rPr>
        <w:t xml:space="preserve">: </w:t>
      </w:r>
      <w:r w:rsidRPr="009B3C1A">
        <w:rPr>
          <w:rFonts w:ascii="Times New Roman" w:eastAsia="Times New Roman" w:hAnsi="Times New Roman" w:cs="Times New Roman"/>
          <w:i/>
          <w:color w:val="000000" w:themeColor="text1"/>
          <w:sz w:val="24"/>
          <w:szCs w:val="24"/>
        </w:rPr>
        <w:t>S</w:t>
      </w:r>
      <w:r w:rsidRPr="009B3C1A">
        <w:rPr>
          <w:rFonts w:ascii="Times New Roman" w:eastAsia="Times New Roman" w:hAnsi="Times New Roman" w:cs="Times New Roman"/>
          <w:color w:val="000000" w:themeColor="text1"/>
          <w:sz w:val="24"/>
          <w:szCs w:val="24"/>
        </w:rPr>
        <w:t xml:space="preserve">0​=100, </w:t>
      </w:r>
      <w:r w:rsidRPr="009B3C1A">
        <w:rPr>
          <w:rFonts w:ascii="Times New Roman" w:eastAsia="Times New Roman" w:hAnsi="Times New Roman" w:cs="Times New Roman"/>
          <w:i/>
          <w:color w:val="000000" w:themeColor="text1"/>
          <w:sz w:val="24"/>
          <w:szCs w:val="24"/>
        </w:rPr>
        <w:t>K</w:t>
      </w:r>
      <w:r w:rsidRPr="009B3C1A">
        <w:rPr>
          <w:rFonts w:ascii="Times New Roman" w:eastAsia="Times New Roman" w:hAnsi="Times New Roman" w:cs="Times New Roman"/>
          <w:color w:val="000000" w:themeColor="text1"/>
          <w:sz w:val="24"/>
          <w:szCs w:val="24"/>
        </w:rPr>
        <w:t xml:space="preserve">=100, </w:t>
      </w:r>
      <w:r w:rsidRPr="009B3C1A">
        <w:rPr>
          <w:rFonts w:ascii="Times New Roman" w:eastAsia="Times New Roman" w:hAnsi="Times New Roman" w:cs="Times New Roman"/>
          <w:i/>
          <w:color w:val="000000" w:themeColor="text1"/>
          <w:sz w:val="24"/>
          <w:szCs w:val="24"/>
        </w:rPr>
        <w:t>T</w:t>
      </w:r>
      <w:r w:rsidRPr="009B3C1A">
        <w:rPr>
          <w:rFonts w:ascii="Times New Roman" w:eastAsia="Times New Roman" w:hAnsi="Times New Roman" w:cs="Times New Roman"/>
          <w:color w:val="000000" w:themeColor="text1"/>
          <w:sz w:val="24"/>
          <w:szCs w:val="24"/>
        </w:rPr>
        <w:t xml:space="preserve">=1, </w:t>
      </w:r>
      <w:r w:rsidRPr="009B3C1A">
        <w:rPr>
          <w:rFonts w:ascii="Times New Roman" w:eastAsia="Times New Roman" w:hAnsi="Times New Roman" w:cs="Times New Roman"/>
          <w:i/>
          <w:color w:val="000000" w:themeColor="text1"/>
          <w:sz w:val="24"/>
          <w:szCs w:val="24"/>
        </w:rPr>
        <w:t>r</w:t>
      </w:r>
      <w:r w:rsidRPr="009B3C1A">
        <w:rPr>
          <w:rFonts w:ascii="Times New Roman" w:eastAsia="Times New Roman" w:hAnsi="Times New Roman" w:cs="Times New Roman"/>
          <w:color w:val="000000" w:themeColor="text1"/>
          <w:sz w:val="24"/>
          <w:szCs w:val="24"/>
        </w:rPr>
        <w:t xml:space="preserve">=5%, σ=20%, </w:t>
      </w:r>
      <w:r w:rsidRPr="009B3C1A">
        <w:rPr>
          <w:rFonts w:ascii="Times New Roman" w:eastAsia="Times New Roman" w:hAnsi="Times New Roman" w:cs="Times New Roman"/>
          <w:i/>
          <w:color w:val="000000" w:themeColor="text1"/>
          <w:sz w:val="24"/>
          <w:szCs w:val="24"/>
        </w:rPr>
        <w:t>q</w:t>
      </w:r>
      <w:r w:rsidRPr="009B3C1A">
        <w:rPr>
          <w:rFonts w:ascii="Times New Roman" w:eastAsia="Times New Roman" w:hAnsi="Times New Roman" w:cs="Times New Roman"/>
          <w:color w:val="000000" w:themeColor="text1"/>
          <w:sz w:val="24"/>
          <w:szCs w:val="24"/>
        </w:rPr>
        <w:t>=3%.</w:t>
      </w:r>
    </w:p>
    <w:p w14:paraId="21D593C9" w14:textId="77777777" w:rsidR="00EA2D43" w:rsidRPr="009B3C1A" w:rsidRDefault="00BC4AF1">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11A1C53F">
          <v:rect id="_x0000_i1028" alt="" style="width:468pt;height:.05pt;mso-width-percent:0;mso-height-percent:0;mso-width-percent:0;mso-height-percent:0" o:hralign="center" o:hrstd="t" o:hr="t" fillcolor="#a0a0a0" stroked="f"/>
        </w:pict>
      </w:r>
    </w:p>
    <w:p w14:paraId="19933CA5"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3" w:name="_deh7ag7gwvla" w:colFirst="0" w:colLast="0"/>
      <w:bookmarkEnd w:id="3"/>
      <w:r w:rsidRPr="009B3C1A">
        <w:rPr>
          <w:rFonts w:ascii="Times New Roman" w:eastAsia="Times New Roman" w:hAnsi="Times New Roman" w:cs="Times New Roman"/>
          <w:b/>
          <w:bCs/>
          <w:color w:val="000000" w:themeColor="text1"/>
        </w:rPr>
        <w:t>3. Results &amp; Analysis</w:t>
      </w:r>
    </w:p>
    <w:p w14:paraId="408A4961" w14:textId="77777777" w:rsidR="00EA2D43" w:rsidRPr="00732C55" w:rsidRDefault="00000000">
      <w:pPr>
        <w:pStyle w:val="Heading3"/>
        <w:spacing w:line="240" w:lineRule="auto"/>
        <w:rPr>
          <w:rFonts w:ascii="Times New Roman" w:eastAsia="Times New Roman" w:hAnsi="Times New Roman" w:cs="Times New Roman"/>
          <w:b/>
          <w:bCs/>
          <w:color w:val="000000" w:themeColor="text1"/>
        </w:rPr>
      </w:pPr>
      <w:bookmarkStart w:id="4" w:name="_qvmjlu7ng7pb" w:colFirst="0" w:colLast="0"/>
      <w:bookmarkEnd w:id="4"/>
      <w:r w:rsidRPr="00732C55">
        <w:rPr>
          <w:rFonts w:ascii="Times New Roman" w:eastAsia="Times New Roman" w:hAnsi="Times New Roman" w:cs="Times New Roman"/>
          <w:b/>
          <w:bCs/>
          <w:color w:val="000000" w:themeColor="text1"/>
        </w:rPr>
        <w:t>3.1. Convergence to Black-Scholes</w:t>
      </w:r>
    </w:p>
    <w:p w14:paraId="142DD400"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European Call/Put Convergence</w:t>
      </w:r>
      <w:r w:rsidRPr="009B3C1A">
        <w:rPr>
          <w:rFonts w:ascii="Times New Roman" w:eastAsia="Times New Roman" w:hAnsi="Times New Roman" w:cs="Times New Roman"/>
          <w:color w:val="000000" w:themeColor="text1"/>
          <w:sz w:val="24"/>
          <w:szCs w:val="24"/>
        </w:rPr>
        <w:t>:</w:t>
      </w:r>
    </w:p>
    <w:p w14:paraId="3D2ABB99"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noProof/>
          <w:color w:val="000000" w:themeColor="text1"/>
          <w:sz w:val="24"/>
          <w:szCs w:val="24"/>
        </w:rPr>
        <w:drawing>
          <wp:inline distT="114300" distB="114300" distL="114300" distR="114300" wp14:anchorId="7D799C60" wp14:editId="3D710CC1">
            <wp:extent cx="5943600" cy="99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990600"/>
                    </a:xfrm>
                    <a:prstGeom prst="rect">
                      <a:avLst/>
                    </a:prstGeom>
                    <a:ln/>
                  </pic:spPr>
                </pic:pic>
              </a:graphicData>
            </a:graphic>
          </wp:inline>
        </w:drawing>
      </w:r>
    </w:p>
    <w:p w14:paraId="2B6BADE1" w14:textId="77777777" w:rsidR="00EA2D43" w:rsidRPr="009B3C1A" w:rsidRDefault="00000000">
      <w:pPr>
        <w:numPr>
          <w:ilvl w:val="0"/>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Key Observations</w:t>
      </w:r>
      <w:r w:rsidRPr="009B3C1A">
        <w:rPr>
          <w:rFonts w:ascii="Times New Roman" w:eastAsia="Times New Roman" w:hAnsi="Times New Roman" w:cs="Times New Roman"/>
          <w:color w:val="000000" w:themeColor="text1"/>
          <w:sz w:val="24"/>
          <w:szCs w:val="24"/>
        </w:rPr>
        <w:t>:</w:t>
      </w:r>
    </w:p>
    <w:p w14:paraId="5CFA6DA6"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With or without dividends, the prices of European call and put options converge to the Black-Scholes price as the tree depth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 xml:space="preserve"> (number of steps) increases. This demonstrates that the ternary tree model provides a good approximation of the theoretical price when sufficiently many steps are used.</w:t>
      </w:r>
    </w:p>
    <w:p w14:paraId="0E4D5C23"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The convergence rates for call and put options are similar, regardless of whether dividends are included.</w:t>
      </w:r>
    </w:p>
    <w:p w14:paraId="48D47498"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At </w:t>
      </w:r>
      <w:r w:rsidRPr="009B3C1A">
        <w:rPr>
          <w:rFonts w:ascii="Times New Roman" w:eastAsia="Times New Roman" w:hAnsi="Times New Roman" w:cs="Times New Roman"/>
          <w:i/>
          <w:color w:val="000000" w:themeColor="text1"/>
          <w:sz w:val="24"/>
          <w:szCs w:val="24"/>
        </w:rPr>
        <w:t xml:space="preserve">N </w:t>
      </w:r>
      <w:r w:rsidRPr="009B3C1A">
        <w:rPr>
          <w:rFonts w:ascii="Times New Roman" w:eastAsia="Times New Roman" w:hAnsi="Times New Roman" w:cs="Times New Roman"/>
          <w:color w:val="000000" w:themeColor="text1"/>
          <w:sz w:val="24"/>
          <w:szCs w:val="24"/>
        </w:rPr>
        <w:t>= 300, the option prices stabilize in all cases, indicating that the numerical solution has closely approximated the Black-Scholes price.</w:t>
      </w:r>
    </w:p>
    <w:p w14:paraId="1989C8CF" w14:textId="77777777" w:rsidR="00EA2D43" w:rsidRPr="009B3C1A" w:rsidRDefault="00000000">
      <w:pPr>
        <w:numPr>
          <w:ilvl w:val="1"/>
          <w:numId w:val="10"/>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As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 xml:space="preserve"> increases, the option prices </w:t>
      </w:r>
      <w:proofErr w:type="gramStart"/>
      <w:r w:rsidRPr="009B3C1A">
        <w:rPr>
          <w:rFonts w:ascii="Times New Roman" w:eastAsia="Times New Roman" w:hAnsi="Times New Roman" w:cs="Times New Roman"/>
          <w:color w:val="000000" w:themeColor="text1"/>
          <w:sz w:val="24"/>
          <w:szCs w:val="24"/>
        </w:rPr>
        <w:t>stabilize</w:t>
      </w:r>
      <w:proofErr w:type="gramEnd"/>
      <w:r w:rsidRPr="009B3C1A">
        <w:rPr>
          <w:rFonts w:ascii="Times New Roman" w:eastAsia="Times New Roman" w:hAnsi="Times New Roman" w:cs="Times New Roman"/>
          <w:color w:val="000000" w:themeColor="text1"/>
          <w:sz w:val="24"/>
          <w:szCs w:val="24"/>
        </w:rPr>
        <w:t xml:space="preserve"> and errors diminish. The error decays linearly (approximately O(1/N)). For practical purposes,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=100 already yields sufficient accuracy with only minor errors.</w:t>
      </w:r>
    </w:p>
    <w:p w14:paraId="55E95BA7"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p w14:paraId="746E072E" w14:textId="77777777" w:rsidR="00EA2D43" w:rsidRPr="00732C55" w:rsidRDefault="00000000">
      <w:pPr>
        <w:pStyle w:val="Heading3"/>
        <w:spacing w:line="240" w:lineRule="auto"/>
        <w:rPr>
          <w:rFonts w:ascii="Times New Roman" w:eastAsia="Times New Roman" w:hAnsi="Times New Roman" w:cs="Times New Roman"/>
          <w:b/>
          <w:bCs/>
          <w:color w:val="000000" w:themeColor="text1"/>
        </w:rPr>
      </w:pPr>
      <w:bookmarkStart w:id="5" w:name="_k1rke9do1wd8" w:colFirst="0" w:colLast="0"/>
      <w:bookmarkEnd w:id="5"/>
      <w:r w:rsidRPr="00732C55">
        <w:rPr>
          <w:rFonts w:ascii="Times New Roman" w:eastAsia="Times New Roman" w:hAnsi="Times New Roman" w:cs="Times New Roman"/>
          <w:b/>
          <w:bCs/>
          <w:color w:val="000000" w:themeColor="text1"/>
        </w:rPr>
        <w:t>3.2. American Options &amp; Early Exercise</w:t>
      </w:r>
    </w:p>
    <w:p w14:paraId="3C167708"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Price Comparison (N=300)</w:t>
      </w:r>
      <w:r w:rsidRPr="009B3C1A">
        <w:rPr>
          <w:rFonts w:ascii="Times New Roman" w:eastAsia="Times New Roman" w:hAnsi="Times New Roman" w:cs="Times New Roman"/>
          <w:color w:val="000000" w:themeColor="text1"/>
          <w:sz w:val="24"/>
          <w:szCs w:val="24"/>
        </w:rPr>
        <w:t>:</w:t>
      </w:r>
    </w:p>
    <w:p w14:paraId="44E14965"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tbl>
      <w:tblPr>
        <w:tblStyle w:val="a"/>
        <w:tblW w:w="7605" w:type="dxa"/>
        <w:tblBorders>
          <w:top w:val="nil"/>
          <w:left w:val="nil"/>
          <w:bottom w:val="nil"/>
          <w:right w:val="nil"/>
          <w:insideH w:val="nil"/>
          <w:insideV w:val="nil"/>
        </w:tblBorders>
        <w:tblLayout w:type="fixed"/>
        <w:tblLook w:val="0600" w:firstRow="0" w:lastRow="0" w:firstColumn="0" w:lastColumn="0" w:noHBand="1" w:noVBand="1"/>
      </w:tblPr>
      <w:tblGrid>
        <w:gridCol w:w="1800"/>
        <w:gridCol w:w="1635"/>
        <w:gridCol w:w="1635"/>
        <w:gridCol w:w="2535"/>
      </w:tblGrid>
      <w:tr w:rsidR="009B3C1A" w:rsidRPr="009B3C1A" w14:paraId="0E3764C6"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11C97937"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Option Type</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793BFE6E"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European Price</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0D9CBECB"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American Price</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51503CC0" w14:textId="77777777" w:rsidR="00EA2D43" w:rsidRPr="009B3C1A" w:rsidRDefault="00000000">
            <w:pPr>
              <w:spacing w:line="240" w:lineRule="auto"/>
              <w:jc w:val="center"/>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Early Exercise Premium</w:t>
            </w:r>
          </w:p>
        </w:tc>
      </w:tr>
      <w:tr w:rsidR="009B3C1A" w:rsidRPr="009B3C1A" w14:paraId="74F88B41"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7E21BD4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Put (Dividend)</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6F67DD61"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6.7277</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7EA4CB18"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6.9705</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13105779"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3.48%</w:t>
            </w:r>
          </w:p>
        </w:tc>
      </w:tr>
      <w:tr w:rsidR="009B3C1A" w:rsidRPr="009B3C1A" w14:paraId="61A78A29"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7E0335B2"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Put (No Dividend)</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5C2FDBE2"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5.5702</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33134E6F"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6.0878</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06B4D04B"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8.51%</w:t>
            </w:r>
          </w:p>
        </w:tc>
      </w:tr>
      <w:tr w:rsidR="009B3C1A" w:rsidRPr="009B3C1A" w14:paraId="4F4F5460" w14:textId="77777777">
        <w:trPr>
          <w:trHeight w:val="315"/>
        </w:trPr>
        <w:tc>
          <w:tcPr>
            <w:tcW w:w="1800" w:type="dxa"/>
            <w:tcBorders>
              <w:top w:val="nil"/>
              <w:left w:val="nil"/>
              <w:bottom w:val="nil"/>
              <w:right w:val="nil"/>
            </w:tcBorders>
            <w:shd w:val="clear" w:color="auto" w:fill="F3F3F3"/>
            <w:tcMar>
              <w:top w:w="100" w:type="dxa"/>
              <w:left w:w="100" w:type="dxa"/>
              <w:bottom w:w="100" w:type="dxa"/>
              <w:right w:w="100" w:type="dxa"/>
            </w:tcMar>
          </w:tcPr>
          <w:p w14:paraId="736C3A95"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Call (Dividend)</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1A10515B"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8.6493</w:t>
            </w:r>
          </w:p>
        </w:tc>
        <w:tc>
          <w:tcPr>
            <w:tcW w:w="1635" w:type="dxa"/>
            <w:tcBorders>
              <w:top w:val="nil"/>
              <w:left w:val="nil"/>
              <w:bottom w:val="nil"/>
              <w:right w:val="nil"/>
            </w:tcBorders>
            <w:shd w:val="clear" w:color="auto" w:fill="F3F3F3"/>
            <w:tcMar>
              <w:top w:w="100" w:type="dxa"/>
              <w:left w:w="100" w:type="dxa"/>
              <w:bottom w:w="100" w:type="dxa"/>
              <w:right w:w="100" w:type="dxa"/>
            </w:tcMar>
          </w:tcPr>
          <w:p w14:paraId="7F0DC0D5"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8.6495</w:t>
            </w:r>
          </w:p>
        </w:tc>
        <w:tc>
          <w:tcPr>
            <w:tcW w:w="2535" w:type="dxa"/>
            <w:tcBorders>
              <w:top w:val="nil"/>
              <w:left w:val="nil"/>
              <w:bottom w:val="nil"/>
              <w:right w:val="nil"/>
            </w:tcBorders>
            <w:shd w:val="clear" w:color="auto" w:fill="F3F3F3"/>
            <w:tcMar>
              <w:top w:w="100" w:type="dxa"/>
              <w:left w:w="100" w:type="dxa"/>
              <w:bottom w:w="100" w:type="dxa"/>
              <w:right w:w="100" w:type="dxa"/>
            </w:tcMar>
          </w:tcPr>
          <w:p w14:paraId="4DABB519" w14:textId="77777777" w:rsidR="00EA2D43" w:rsidRPr="009B3C1A" w:rsidRDefault="00000000">
            <w:pPr>
              <w:spacing w:line="240" w:lineRule="auto"/>
              <w:jc w:val="center"/>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0.002%</w:t>
            </w:r>
          </w:p>
        </w:tc>
      </w:tr>
    </w:tbl>
    <w:p w14:paraId="3164CDFA" w14:textId="77777777" w:rsidR="00EA2D43" w:rsidRPr="009B3C1A" w:rsidRDefault="00EA2D43">
      <w:pPr>
        <w:spacing w:after="60" w:line="240" w:lineRule="auto"/>
        <w:ind w:left="720"/>
        <w:rPr>
          <w:rFonts w:ascii="Times New Roman" w:eastAsia="Times New Roman" w:hAnsi="Times New Roman" w:cs="Times New Roman"/>
          <w:b/>
          <w:color w:val="000000" w:themeColor="text1"/>
          <w:sz w:val="24"/>
          <w:szCs w:val="24"/>
        </w:rPr>
      </w:pPr>
    </w:p>
    <w:p w14:paraId="033EC744" w14:textId="77777777" w:rsidR="00EA2D43" w:rsidRPr="009B3C1A" w:rsidRDefault="00000000">
      <w:pPr>
        <w:numPr>
          <w:ilvl w:val="0"/>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Analysis</w:t>
      </w:r>
      <w:r w:rsidRPr="009B3C1A">
        <w:rPr>
          <w:rFonts w:ascii="Times New Roman" w:eastAsia="Times New Roman" w:hAnsi="Times New Roman" w:cs="Times New Roman"/>
          <w:color w:val="000000" w:themeColor="text1"/>
          <w:sz w:val="24"/>
          <w:szCs w:val="24"/>
        </w:rPr>
        <w:t>:</w:t>
      </w:r>
    </w:p>
    <w:p w14:paraId="1A6F2E35" w14:textId="77777777" w:rsidR="00EA2D43" w:rsidRPr="00732C55" w:rsidRDefault="00000000">
      <w:pPr>
        <w:numPr>
          <w:ilvl w:val="1"/>
          <w:numId w:val="7"/>
        </w:numPr>
        <w:spacing w:line="240" w:lineRule="auto"/>
        <w:rPr>
          <w:rFonts w:ascii="Times New Roman" w:eastAsia="Times New Roman" w:hAnsi="Times New Roman" w:cs="Times New Roman"/>
          <w:b/>
          <w:bCs/>
          <w:color w:val="000000" w:themeColor="text1"/>
          <w:sz w:val="24"/>
          <w:szCs w:val="24"/>
        </w:rPr>
      </w:pPr>
      <w:r w:rsidRPr="00732C55">
        <w:rPr>
          <w:rFonts w:ascii="Times New Roman" w:eastAsia="Times New Roman" w:hAnsi="Times New Roman" w:cs="Times New Roman"/>
          <w:b/>
          <w:bCs/>
          <w:color w:val="000000" w:themeColor="text1"/>
          <w:sz w:val="24"/>
          <w:szCs w:val="24"/>
        </w:rPr>
        <w:t>Dividend Impact on Calls:</w:t>
      </w:r>
    </w:p>
    <w:p w14:paraId="364C6B11"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lastRenderedPageBreak/>
        <w:t>Dividends decrease the value of call options because the expected drop in the underlying stock price after dividend payout reduces the call's value.</w:t>
      </w:r>
    </w:p>
    <w:p w14:paraId="2CB4446B"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For instance, the European call price with dividends (8.65) is significantly lower than the price without dividends (10.45).</w:t>
      </w:r>
    </w:p>
    <w:p w14:paraId="1AB17D2A" w14:textId="77777777" w:rsidR="00EA2D43" w:rsidRPr="009B3C1A" w:rsidRDefault="00EA2D43">
      <w:pPr>
        <w:spacing w:line="240" w:lineRule="auto"/>
        <w:ind w:left="1440"/>
        <w:rPr>
          <w:rFonts w:ascii="Times New Roman" w:eastAsia="Times New Roman" w:hAnsi="Times New Roman" w:cs="Times New Roman"/>
          <w:color w:val="000000" w:themeColor="text1"/>
          <w:sz w:val="24"/>
          <w:szCs w:val="24"/>
        </w:rPr>
      </w:pPr>
    </w:p>
    <w:p w14:paraId="261B61E4" w14:textId="77777777" w:rsidR="00EA2D43" w:rsidRPr="00732C55" w:rsidRDefault="00000000">
      <w:pPr>
        <w:numPr>
          <w:ilvl w:val="1"/>
          <w:numId w:val="7"/>
        </w:numPr>
        <w:spacing w:line="240" w:lineRule="auto"/>
        <w:rPr>
          <w:rFonts w:ascii="Times New Roman" w:eastAsia="Times New Roman" w:hAnsi="Times New Roman" w:cs="Times New Roman"/>
          <w:b/>
          <w:bCs/>
          <w:color w:val="000000" w:themeColor="text1"/>
          <w:sz w:val="24"/>
          <w:szCs w:val="24"/>
        </w:rPr>
      </w:pPr>
      <w:r w:rsidRPr="00732C55">
        <w:rPr>
          <w:rFonts w:ascii="Times New Roman" w:eastAsia="Times New Roman" w:hAnsi="Times New Roman" w:cs="Times New Roman"/>
          <w:b/>
          <w:bCs/>
          <w:color w:val="000000" w:themeColor="text1"/>
          <w:sz w:val="24"/>
          <w:szCs w:val="24"/>
        </w:rPr>
        <w:t>Early Exercise for Puts:</w:t>
      </w:r>
    </w:p>
    <w:p w14:paraId="0387330F"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American put options have a higher price than their European counterparts, especially when dividends are not involved.</w:t>
      </w:r>
    </w:p>
    <w:p w14:paraId="74BE8802"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The reason for the higher early exercise premium (up to 8.51%) is the option holder's ability to exercise early, which is particularly valuable when the option is deep in-the-money.</w:t>
      </w:r>
    </w:p>
    <w:p w14:paraId="4C74B275" w14:textId="77777777" w:rsidR="00EA2D43" w:rsidRPr="009B3C1A" w:rsidRDefault="00EA2D43">
      <w:pPr>
        <w:spacing w:line="240" w:lineRule="auto"/>
        <w:ind w:left="1440"/>
        <w:rPr>
          <w:rFonts w:ascii="Times New Roman" w:eastAsia="Times New Roman" w:hAnsi="Times New Roman" w:cs="Times New Roman"/>
          <w:color w:val="000000" w:themeColor="text1"/>
          <w:sz w:val="24"/>
          <w:szCs w:val="24"/>
        </w:rPr>
      </w:pPr>
    </w:p>
    <w:p w14:paraId="33EF0467" w14:textId="77777777" w:rsidR="00EA2D43" w:rsidRPr="00732C55" w:rsidRDefault="00000000">
      <w:pPr>
        <w:numPr>
          <w:ilvl w:val="1"/>
          <w:numId w:val="7"/>
        </w:numPr>
        <w:spacing w:line="240" w:lineRule="auto"/>
        <w:rPr>
          <w:rFonts w:ascii="Times New Roman" w:eastAsia="Times New Roman" w:hAnsi="Times New Roman" w:cs="Times New Roman"/>
          <w:b/>
          <w:bCs/>
          <w:color w:val="000000" w:themeColor="text1"/>
          <w:sz w:val="24"/>
          <w:szCs w:val="24"/>
        </w:rPr>
      </w:pPr>
      <w:r w:rsidRPr="00732C55">
        <w:rPr>
          <w:rFonts w:ascii="Times New Roman" w:eastAsia="Times New Roman" w:hAnsi="Times New Roman" w:cs="Times New Roman"/>
          <w:b/>
          <w:bCs/>
          <w:color w:val="000000" w:themeColor="text1"/>
          <w:sz w:val="24"/>
          <w:szCs w:val="24"/>
        </w:rPr>
        <w:t>American Calls:</w:t>
      </w:r>
    </w:p>
    <w:p w14:paraId="7388AB59"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When there are no dividends, American call options do not have a significant early exercise premium compared to European calls. This matches the theory proposed by Merton (1973), which states that it is generally not optimal to exercise an American call early unless dividends are involved.</w:t>
      </w:r>
    </w:p>
    <w:p w14:paraId="5D225D8E" w14:textId="77777777" w:rsidR="00EA2D43" w:rsidRPr="009B3C1A" w:rsidRDefault="00000000">
      <w:pPr>
        <w:numPr>
          <w:ilvl w:val="2"/>
          <w:numId w:val="7"/>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When dividends are present, the premium remains minimal (0.002%), indicating that the benefit of early exercise is still negligible due to the rare occurrence of favorable early exercise conditions.</w:t>
      </w:r>
    </w:p>
    <w:p w14:paraId="0A6C03E7" w14:textId="77777777" w:rsidR="00EA2D43" w:rsidRPr="009B3C1A" w:rsidRDefault="00EA2D43">
      <w:pPr>
        <w:spacing w:line="240" w:lineRule="auto"/>
        <w:ind w:left="1440"/>
        <w:rPr>
          <w:rFonts w:ascii="Times New Roman" w:eastAsia="Times New Roman" w:hAnsi="Times New Roman" w:cs="Times New Roman"/>
          <w:color w:val="000000" w:themeColor="text1"/>
          <w:sz w:val="24"/>
          <w:szCs w:val="24"/>
        </w:rPr>
      </w:pPr>
    </w:p>
    <w:p w14:paraId="6CDE7D4C" w14:textId="77777777" w:rsidR="00EA2D43" w:rsidRPr="00732C55" w:rsidRDefault="00000000">
      <w:pPr>
        <w:pStyle w:val="Heading3"/>
        <w:spacing w:line="240" w:lineRule="auto"/>
        <w:rPr>
          <w:rFonts w:ascii="Times New Roman" w:eastAsia="Times New Roman" w:hAnsi="Times New Roman" w:cs="Times New Roman"/>
          <w:b/>
          <w:bCs/>
          <w:color w:val="000000" w:themeColor="text1"/>
        </w:rPr>
      </w:pPr>
      <w:bookmarkStart w:id="6" w:name="_4g52owhyrbhl" w:colFirst="0" w:colLast="0"/>
      <w:bookmarkEnd w:id="6"/>
      <w:r w:rsidRPr="00732C55">
        <w:rPr>
          <w:rFonts w:ascii="Times New Roman" w:eastAsia="Times New Roman" w:hAnsi="Times New Roman" w:cs="Times New Roman"/>
          <w:b/>
          <w:bCs/>
          <w:color w:val="000000" w:themeColor="text1"/>
        </w:rPr>
        <w:t>3.3. Computational Complexity</w:t>
      </w:r>
    </w:p>
    <w:p w14:paraId="2E79B848"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Runtime Scaling (Dividend Case)</w:t>
      </w:r>
      <w:r w:rsidRPr="009B3C1A">
        <w:rPr>
          <w:rFonts w:ascii="Times New Roman" w:eastAsia="Times New Roman" w:hAnsi="Times New Roman" w:cs="Times New Roman"/>
          <w:color w:val="000000" w:themeColor="text1"/>
          <w:sz w:val="24"/>
          <w:szCs w:val="24"/>
        </w:rPr>
        <w:t>:</w:t>
      </w:r>
    </w:p>
    <w:p w14:paraId="0E9F7CBF" w14:textId="77777777" w:rsidR="00EA2D43" w:rsidRPr="009B3C1A" w:rsidRDefault="00EA2D43">
      <w:pPr>
        <w:spacing w:line="240" w:lineRule="auto"/>
        <w:rPr>
          <w:rFonts w:ascii="Times New Roman" w:eastAsia="Times New Roman" w:hAnsi="Times New Roman" w:cs="Times New Roman"/>
          <w:color w:val="000000" w:themeColor="text1"/>
          <w:sz w:val="24"/>
          <w:szCs w:val="24"/>
        </w:rPr>
      </w:pPr>
    </w:p>
    <w:tbl>
      <w:tblPr>
        <w:tblStyle w:val="a0"/>
        <w:tblW w:w="7755" w:type="dxa"/>
        <w:tblBorders>
          <w:top w:val="nil"/>
          <w:left w:val="nil"/>
          <w:bottom w:val="nil"/>
          <w:right w:val="nil"/>
          <w:insideH w:val="nil"/>
          <w:insideV w:val="nil"/>
        </w:tblBorders>
        <w:tblLayout w:type="fixed"/>
        <w:tblLook w:val="0600" w:firstRow="0" w:lastRow="0" w:firstColumn="0" w:lastColumn="0" w:noHBand="1" w:noVBand="1"/>
      </w:tblPr>
      <w:tblGrid>
        <w:gridCol w:w="795"/>
        <w:gridCol w:w="1125"/>
        <w:gridCol w:w="3315"/>
        <w:gridCol w:w="2520"/>
      </w:tblGrid>
      <w:tr w:rsidR="009B3C1A" w:rsidRPr="009B3C1A" w14:paraId="6061A125"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17817605"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N</w:t>
            </w:r>
          </w:p>
        </w:tc>
        <w:tc>
          <w:tcPr>
            <w:tcW w:w="1125" w:type="dxa"/>
            <w:tcBorders>
              <w:top w:val="nil"/>
              <w:left w:val="nil"/>
              <w:bottom w:val="nil"/>
              <w:right w:val="nil"/>
            </w:tcBorders>
            <w:shd w:val="clear" w:color="auto" w:fill="F3F3F3"/>
            <w:tcMar>
              <w:top w:w="20" w:type="dxa"/>
              <w:left w:w="20" w:type="dxa"/>
              <w:bottom w:w="20" w:type="dxa"/>
              <w:right w:w="20" w:type="dxa"/>
            </w:tcMar>
          </w:tcPr>
          <w:p w14:paraId="5C994DFE"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Time (s)</w:t>
            </w:r>
          </w:p>
        </w:tc>
        <w:tc>
          <w:tcPr>
            <w:tcW w:w="3315" w:type="dxa"/>
            <w:tcBorders>
              <w:top w:val="nil"/>
              <w:left w:val="nil"/>
              <w:bottom w:val="nil"/>
              <w:right w:val="nil"/>
            </w:tcBorders>
            <w:shd w:val="clear" w:color="auto" w:fill="F3F3F3"/>
            <w:tcMar>
              <w:top w:w="20" w:type="dxa"/>
              <w:left w:w="20" w:type="dxa"/>
              <w:bottom w:w="20" w:type="dxa"/>
              <w:right w:w="20" w:type="dxa"/>
            </w:tcMar>
          </w:tcPr>
          <w:p w14:paraId="0052019D"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Theoretical O(N2)) Scaling</w:t>
            </w:r>
          </w:p>
        </w:tc>
        <w:tc>
          <w:tcPr>
            <w:tcW w:w="2520" w:type="dxa"/>
            <w:tcBorders>
              <w:top w:val="nil"/>
              <w:left w:val="nil"/>
              <w:bottom w:val="nil"/>
              <w:right w:val="nil"/>
            </w:tcBorders>
            <w:shd w:val="clear" w:color="auto" w:fill="F3F3F3"/>
            <w:tcMar>
              <w:top w:w="20" w:type="dxa"/>
              <w:left w:w="20" w:type="dxa"/>
              <w:bottom w:w="20" w:type="dxa"/>
              <w:right w:w="20" w:type="dxa"/>
            </w:tcMar>
          </w:tcPr>
          <w:p w14:paraId="65148C92" w14:textId="77777777" w:rsidR="00EA2D43" w:rsidRPr="009B3C1A" w:rsidRDefault="00000000">
            <w:p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Actual Scaling Factor</w:t>
            </w:r>
          </w:p>
        </w:tc>
      </w:tr>
      <w:tr w:rsidR="009B3C1A" w:rsidRPr="009B3C1A" w14:paraId="27CB3456"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1C6FE415"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50</w:t>
            </w:r>
          </w:p>
        </w:tc>
        <w:tc>
          <w:tcPr>
            <w:tcW w:w="1125" w:type="dxa"/>
            <w:tcBorders>
              <w:top w:val="nil"/>
              <w:left w:val="nil"/>
              <w:bottom w:val="nil"/>
              <w:right w:val="nil"/>
            </w:tcBorders>
            <w:shd w:val="clear" w:color="auto" w:fill="F3F3F3"/>
            <w:tcMar>
              <w:top w:w="20" w:type="dxa"/>
              <w:left w:w="20" w:type="dxa"/>
              <w:bottom w:w="20" w:type="dxa"/>
              <w:right w:w="20" w:type="dxa"/>
            </w:tcMar>
          </w:tcPr>
          <w:p w14:paraId="0B8DB2BA"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0.07</w:t>
            </w:r>
          </w:p>
        </w:tc>
        <w:tc>
          <w:tcPr>
            <w:tcW w:w="3315" w:type="dxa"/>
            <w:tcBorders>
              <w:top w:val="nil"/>
              <w:left w:val="nil"/>
              <w:bottom w:val="nil"/>
              <w:right w:val="nil"/>
            </w:tcBorders>
            <w:shd w:val="clear" w:color="auto" w:fill="F3F3F3"/>
            <w:tcMar>
              <w:top w:w="20" w:type="dxa"/>
              <w:left w:w="20" w:type="dxa"/>
              <w:bottom w:w="20" w:type="dxa"/>
              <w:right w:w="20" w:type="dxa"/>
            </w:tcMar>
          </w:tcPr>
          <w:p w14:paraId="560E4CC8"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1x (Baseline)</w:t>
            </w:r>
          </w:p>
        </w:tc>
        <w:tc>
          <w:tcPr>
            <w:tcW w:w="2520" w:type="dxa"/>
            <w:tcBorders>
              <w:top w:val="nil"/>
              <w:left w:val="nil"/>
              <w:bottom w:val="nil"/>
              <w:right w:val="nil"/>
            </w:tcBorders>
            <w:shd w:val="clear" w:color="auto" w:fill="F3F3F3"/>
            <w:tcMar>
              <w:top w:w="20" w:type="dxa"/>
              <w:left w:w="20" w:type="dxa"/>
              <w:bottom w:w="20" w:type="dxa"/>
              <w:right w:w="20" w:type="dxa"/>
            </w:tcMar>
          </w:tcPr>
          <w:p w14:paraId="7DA46BDF"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1x</w:t>
            </w:r>
          </w:p>
        </w:tc>
      </w:tr>
      <w:tr w:rsidR="009B3C1A" w:rsidRPr="009B3C1A" w14:paraId="596E949C"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39A3977E"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100</w:t>
            </w:r>
          </w:p>
        </w:tc>
        <w:tc>
          <w:tcPr>
            <w:tcW w:w="1125" w:type="dxa"/>
            <w:tcBorders>
              <w:top w:val="nil"/>
              <w:left w:val="nil"/>
              <w:bottom w:val="nil"/>
              <w:right w:val="nil"/>
            </w:tcBorders>
            <w:shd w:val="clear" w:color="auto" w:fill="F3F3F3"/>
            <w:tcMar>
              <w:top w:w="20" w:type="dxa"/>
              <w:left w:w="20" w:type="dxa"/>
              <w:bottom w:w="20" w:type="dxa"/>
              <w:right w:w="20" w:type="dxa"/>
            </w:tcMar>
          </w:tcPr>
          <w:p w14:paraId="53F784D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0.28</w:t>
            </w:r>
          </w:p>
        </w:tc>
        <w:tc>
          <w:tcPr>
            <w:tcW w:w="3315" w:type="dxa"/>
            <w:tcBorders>
              <w:top w:val="nil"/>
              <w:left w:val="nil"/>
              <w:bottom w:val="nil"/>
              <w:right w:val="nil"/>
            </w:tcBorders>
            <w:shd w:val="clear" w:color="auto" w:fill="F3F3F3"/>
            <w:tcMar>
              <w:top w:w="20" w:type="dxa"/>
              <w:left w:w="20" w:type="dxa"/>
              <w:bottom w:w="20" w:type="dxa"/>
              <w:right w:w="20" w:type="dxa"/>
            </w:tcMar>
          </w:tcPr>
          <w:p w14:paraId="59B0955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4x</w:t>
            </w:r>
          </w:p>
        </w:tc>
        <w:tc>
          <w:tcPr>
            <w:tcW w:w="2520" w:type="dxa"/>
            <w:tcBorders>
              <w:top w:val="nil"/>
              <w:left w:val="nil"/>
              <w:bottom w:val="nil"/>
              <w:right w:val="nil"/>
            </w:tcBorders>
            <w:shd w:val="clear" w:color="auto" w:fill="F3F3F3"/>
            <w:tcMar>
              <w:top w:w="20" w:type="dxa"/>
              <w:left w:w="20" w:type="dxa"/>
              <w:bottom w:w="20" w:type="dxa"/>
              <w:right w:w="20" w:type="dxa"/>
            </w:tcMar>
          </w:tcPr>
          <w:p w14:paraId="665EAF0E"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4.0x</w:t>
            </w:r>
          </w:p>
        </w:tc>
      </w:tr>
      <w:tr w:rsidR="009B3C1A" w:rsidRPr="009B3C1A" w14:paraId="78DBAF5F"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02480D6D"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200</w:t>
            </w:r>
          </w:p>
        </w:tc>
        <w:tc>
          <w:tcPr>
            <w:tcW w:w="1125" w:type="dxa"/>
            <w:tcBorders>
              <w:top w:val="nil"/>
              <w:left w:val="nil"/>
              <w:bottom w:val="nil"/>
              <w:right w:val="nil"/>
            </w:tcBorders>
            <w:shd w:val="clear" w:color="auto" w:fill="F3F3F3"/>
            <w:tcMar>
              <w:top w:w="20" w:type="dxa"/>
              <w:left w:w="20" w:type="dxa"/>
              <w:bottom w:w="20" w:type="dxa"/>
              <w:right w:w="20" w:type="dxa"/>
            </w:tcMar>
          </w:tcPr>
          <w:p w14:paraId="2137BF87"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2.01</w:t>
            </w:r>
          </w:p>
        </w:tc>
        <w:tc>
          <w:tcPr>
            <w:tcW w:w="3315" w:type="dxa"/>
            <w:tcBorders>
              <w:top w:val="nil"/>
              <w:left w:val="nil"/>
              <w:bottom w:val="nil"/>
              <w:right w:val="nil"/>
            </w:tcBorders>
            <w:shd w:val="clear" w:color="auto" w:fill="F3F3F3"/>
            <w:tcMar>
              <w:top w:w="20" w:type="dxa"/>
              <w:left w:w="20" w:type="dxa"/>
              <w:bottom w:w="20" w:type="dxa"/>
              <w:right w:w="20" w:type="dxa"/>
            </w:tcMar>
          </w:tcPr>
          <w:p w14:paraId="72BB68F9"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16x</w:t>
            </w:r>
          </w:p>
        </w:tc>
        <w:tc>
          <w:tcPr>
            <w:tcW w:w="2520" w:type="dxa"/>
            <w:tcBorders>
              <w:top w:val="nil"/>
              <w:left w:val="nil"/>
              <w:bottom w:val="nil"/>
              <w:right w:val="nil"/>
            </w:tcBorders>
            <w:shd w:val="clear" w:color="auto" w:fill="F3F3F3"/>
            <w:tcMar>
              <w:top w:w="20" w:type="dxa"/>
              <w:left w:w="20" w:type="dxa"/>
              <w:bottom w:w="20" w:type="dxa"/>
              <w:right w:w="20" w:type="dxa"/>
            </w:tcMar>
          </w:tcPr>
          <w:p w14:paraId="1AB6FB84"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28.7x</w:t>
            </w:r>
          </w:p>
        </w:tc>
      </w:tr>
      <w:tr w:rsidR="009B3C1A" w:rsidRPr="009B3C1A" w14:paraId="0102C4AB" w14:textId="77777777">
        <w:trPr>
          <w:trHeight w:val="315"/>
        </w:trPr>
        <w:tc>
          <w:tcPr>
            <w:tcW w:w="795" w:type="dxa"/>
            <w:tcBorders>
              <w:top w:val="nil"/>
              <w:left w:val="nil"/>
              <w:bottom w:val="nil"/>
              <w:right w:val="nil"/>
            </w:tcBorders>
            <w:shd w:val="clear" w:color="auto" w:fill="F3F3F3"/>
            <w:tcMar>
              <w:top w:w="20" w:type="dxa"/>
              <w:left w:w="0" w:type="dxa"/>
              <w:bottom w:w="20" w:type="dxa"/>
              <w:right w:w="20" w:type="dxa"/>
            </w:tcMar>
          </w:tcPr>
          <w:p w14:paraId="1EE3C71A"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300</w:t>
            </w:r>
          </w:p>
        </w:tc>
        <w:tc>
          <w:tcPr>
            <w:tcW w:w="1125" w:type="dxa"/>
            <w:tcBorders>
              <w:top w:val="nil"/>
              <w:left w:val="nil"/>
              <w:bottom w:val="nil"/>
              <w:right w:val="nil"/>
            </w:tcBorders>
            <w:shd w:val="clear" w:color="auto" w:fill="F3F3F3"/>
            <w:tcMar>
              <w:top w:w="20" w:type="dxa"/>
              <w:left w:w="20" w:type="dxa"/>
              <w:bottom w:w="20" w:type="dxa"/>
              <w:right w:w="20" w:type="dxa"/>
            </w:tcMar>
          </w:tcPr>
          <w:p w14:paraId="2359E007"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3.88</w:t>
            </w:r>
          </w:p>
        </w:tc>
        <w:tc>
          <w:tcPr>
            <w:tcW w:w="3315" w:type="dxa"/>
            <w:tcBorders>
              <w:top w:val="nil"/>
              <w:left w:val="nil"/>
              <w:bottom w:val="nil"/>
              <w:right w:val="nil"/>
            </w:tcBorders>
            <w:shd w:val="clear" w:color="auto" w:fill="F3F3F3"/>
            <w:tcMar>
              <w:top w:w="20" w:type="dxa"/>
              <w:left w:w="20" w:type="dxa"/>
              <w:bottom w:w="20" w:type="dxa"/>
              <w:right w:w="20" w:type="dxa"/>
            </w:tcMar>
          </w:tcPr>
          <w:p w14:paraId="49F42D22"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36x</w:t>
            </w:r>
          </w:p>
        </w:tc>
        <w:tc>
          <w:tcPr>
            <w:tcW w:w="2520" w:type="dxa"/>
            <w:tcBorders>
              <w:top w:val="nil"/>
              <w:left w:val="nil"/>
              <w:bottom w:val="nil"/>
              <w:right w:val="nil"/>
            </w:tcBorders>
            <w:shd w:val="clear" w:color="auto" w:fill="F3F3F3"/>
            <w:tcMar>
              <w:top w:w="20" w:type="dxa"/>
              <w:left w:w="20" w:type="dxa"/>
              <w:bottom w:w="20" w:type="dxa"/>
              <w:right w:w="20" w:type="dxa"/>
            </w:tcMar>
          </w:tcPr>
          <w:p w14:paraId="37743ADB"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55.4x</w:t>
            </w:r>
          </w:p>
        </w:tc>
      </w:tr>
    </w:tbl>
    <w:p w14:paraId="623F972E" w14:textId="77777777" w:rsidR="00EA2D43" w:rsidRPr="009B3C1A" w:rsidRDefault="00000000">
      <w:pPr>
        <w:pStyle w:val="Heading4"/>
        <w:keepNext w:val="0"/>
        <w:keepLines w:val="0"/>
        <w:numPr>
          <w:ilvl w:val="0"/>
          <w:numId w:val="12"/>
        </w:numPr>
        <w:spacing w:before="240" w:after="0" w:line="240" w:lineRule="auto"/>
        <w:rPr>
          <w:rFonts w:ascii="Times New Roman" w:eastAsia="Times New Roman" w:hAnsi="Times New Roman" w:cs="Times New Roman"/>
          <w:b/>
          <w:color w:val="000000" w:themeColor="text1"/>
        </w:rPr>
      </w:pPr>
      <w:bookmarkStart w:id="7" w:name="_5cccfvcnalnl" w:colFirst="0" w:colLast="0"/>
      <w:bookmarkEnd w:id="7"/>
      <w:r w:rsidRPr="009B3C1A">
        <w:rPr>
          <w:rFonts w:ascii="Times New Roman" w:eastAsia="Times New Roman" w:hAnsi="Times New Roman" w:cs="Times New Roman"/>
          <w:b/>
          <w:color w:val="000000" w:themeColor="text1"/>
        </w:rPr>
        <w:t>Complexity Analysis:</w:t>
      </w:r>
    </w:p>
    <w:p w14:paraId="3C97AF5B" w14:textId="77777777" w:rsidR="00EA2D43" w:rsidRPr="00732C55" w:rsidRDefault="00000000">
      <w:pPr>
        <w:pStyle w:val="Heading5"/>
        <w:keepNext w:val="0"/>
        <w:keepLines w:val="0"/>
        <w:numPr>
          <w:ilvl w:val="1"/>
          <w:numId w:val="12"/>
        </w:numPr>
        <w:spacing w:before="0" w:after="0" w:line="240" w:lineRule="auto"/>
        <w:rPr>
          <w:rFonts w:ascii="Times New Roman" w:eastAsia="Times New Roman" w:hAnsi="Times New Roman" w:cs="Times New Roman"/>
          <w:bCs/>
          <w:color w:val="000000" w:themeColor="text1"/>
          <w:sz w:val="24"/>
          <w:szCs w:val="24"/>
        </w:rPr>
      </w:pPr>
      <w:bookmarkStart w:id="8" w:name="_hg3d3vqaenm7" w:colFirst="0" w:colLast="0"/>
      <w:bookmarkEnd w:id="8"/>
      <w:r w:rsidRPr="00732C55">
        <w:rPr>
          <w:rFonts w:ascii="Times New Roman" w:eastAsia="Times New Roman" w:hAnsi="Times New Roman" w:cs="Times New Roman"/>
          <w:bCs/>
          <w:color w:val="000000" w:themeColor="text1"/>
          <w:sz w:val="24"/>
          <w:szCs w:val="24"/>
        </w:rPr>
        <w:t>Theoretical Complexity:</w:t>
      </w:r>
      <w:r w:rsidRPr="00732C55">
        <w:rPr>
          <w:rFonts w:ascii="Times New Roman" w:eastAsia="Times New Roman" w:hAnsi="Times New Roman" w:cs="Times New Roman"/>
          <w:bCs/>
          <w:color w:val="000000" w:themeColor="text1"/>
          <w:sz w:val="24"/>
          <w:szCs w:val="24"/>
        </w:rPr>
        <w:tab/>
      </w:r>
    </w:p>
    <w:p w14:paraId="222F0DBA" w14:textId="77777777" w:rsidR="00EA2D43" w:rsidRPr="009B3C1A" w:rsidRDefault="00000000">
      <w:pPr>
        <w:pStyle w:val="Heading5"/>
        <w:keepNext w:val="0"/>
        <w:keepLines w:val="0"/>
        <w:numPr>
          <w:ilvl w:val="2"/>
          <w:numId w:val="12"/>
        </w:numPr>
        <w:spacing w:before="0" w:after="0"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color w:val="000000" w:themeColor="text1"/>
          <w:sz w:val="24"/>
          <w:szCs w:val="24"/>
        </w:rPr>
        <w:t xml:space="preserve">The trinomial tree method has a theoretical computational complexity of </w:t>
      </w:r>
      <w:r w:rsidRPr="009B3C1A">
        <w:rPr>
          <w:rFonts w:ascii="Times New Roman" w:eastAsia="Times New Roman" w:hAnsi="Times New Roman" w:cs="Times New Roman"/>
          <w:b/>
          <w:color w:val="000000" w:themeColor="text1"/>
          <w:sz w:val="24"/>
          <w:szCs w:val="24"/>
        </w:rPr>
        <w:t>O(N^2)</w:t>
      </w:r>
      <w:r w:rsidRPr="009B3C1A">
        <w:rPr>
          <w:rFonts w:ascii="Times New Roman" w:eastAsia="Times New Roman" w:hAnsi="Times New Roman" w:cs="Times New Roman"/>
          <w:color w:val="000000" w:themeColor="text1"/>
          <w:sz w:val="24"/>
          <w:szCs w:val="24"/>
        </w:rPr>
        <w:t xml:space="preserve"> because the number of nodes in the tree grows proportionally to the square of the number of steps (N×N).</w:t>
      </w:r>
    </w:p>
    <w:p w14:paraId="022E5FFB" w14:textId="77777777" w:rsidR="00EA2D43" w:rsidRPr="00732C55" w:rsidRDefault="00000000">
      <w:pPr>
        <w:pStyle w:val="Heading5"/>
        <w:keepNext w:val="0"/>
        <w:keepLines w:val="0"/>
        <w:numPr>
          <w:ilvl w:val="1"/>
          <w:numId w:val="12"/>
        </w:numPr>
        <w:spacing w:before="0" w:after="0" w:line="240" w:lineRule="auto"/>
        <w:rPr>
          <w:rFonts w:ascii="Times New Roman" w:eastAsia="Times New Roman" w:hAnsi="Times New Roman" w:cs="Times New Roman"/>
          <w:bCs/>
          <w:color w:val="000000" w:themeColor="text1"/>
          <w:sz w:val="24"/>
          <w:szCs w:val="24"/>
        </w:rPr>
      </w:pPr>
      <w:bookmarkStart w:id="9" w:name="_pnyu4rc69jet" w:colFirst="0" w:colLast="0"/>
      <w:bookmarkEnd w:id="9"/>
      <w:r w:rsidRPr="00732C55">
        <w:rPr>
          <w:rFonts w:ascii="Times New Roman" w:eastAsia="Times New Roman" w:hAnsi="Times New Roman" w:cs="Times New Roman"/>
          <w:bCs/>
          <w:color w:val="000000" w:themeColor="text1"/>
          <w:sz w:val="24"/>
          <w:szCs w:val="24"/>
        </w:rPr>
        <w:t>Actual Complexity:</w:t>
      </w:r>
    </w:p>
    <w:p w14:paraId="4824D7A1" w14:textId="77777777" w:rsidR="00EA2D43" w:rsidRPr="009B3C1A" w:rsidRDefault="00000000">
      <w:pPr>
        <w:pStyle w:val="Heading5"/>
        <w:keepNext w:val="0"/>
        <w:keepLines w:val="0"/>
        <w:numPr>
          <w:ilvl w:val="2"/>
          <w:numId w:val="12"/>
        </w:numPr>
        <w:spacing w:before="0" w:after="0" w:line="240" w:lineRule="auto"/>
        <w:rPr>
          <w:rFonts w:ascii="Times New Roman" w:eastAsia="Times New Roman" w:hAnsi="Times New Roman" w:cs="Times New Roman"/>
          <w:b/>
          <w:color w:val="000000" w:themeColor="text1"/>
          <w:sz w:val="24"/>
          <w:szCs w:val="24"/>
        </w:rPr>
      </w:pPr>
      <w:bookmarkStart w:id="10" w:name="_czzulkykvu3" w:colFirst="0" w:colLast="0"/>
      <w:bookmarkEnd w:id="10"/>
      <w:r w:rsidRPr="009B3C1A">
        <w:rPr>
          <w:rFonts w:ascii="Times New Roman" w:eastAsia="Times New Roman" w:hAnsi="Times New Roman" w:cs="Times New Roman"/>
          <w:color w:val="000000" w:themeColor="text1"/>
          <w:sz w:val="24"/>
          <w:szCs w:val="24"/>
        </w:rPr>
        <w:t>The "Actual Scaling Factor" column shows how the runtime scales compared to the baseline (when N=50).</w:t>
      </w:r>
    </w:p>
    <w:p w14:paraId="48712537" w14:textId="77777777" w:rsidR="00EA2D43" w:rsidRPr="009B3C1A" w:rsidRDefault="00000000">
      <w:pPr>
        <w:pStyle w:val="Heading5"/>
        <w:keepNext w:val="0"/>
        <w:keepLines w:val="0"/>
        <w:numPr>
          <w:ilvl w:val="2"/>
          <w:numId w:val="12"/>
        </w:numPr>
        <w:spacing w:before="0" w:after="0" w:line="240" w:lineRule="auto"/>
        <w:rPr>
          <w:rFonts w:ascii="Times New Roman" w:eastAsia="Times New Roman" w:hAnsi="Times New Roman" w:cs="Times New Roman"/>
          <w:b/>
          <w:color w:val="000000" w:themeColor="text1"/>
          <w:sz w:val="24"/>
          <w:szCs w:val="24"/>
        </w:rPr>
      </w:pPr>
      <w:bookmarkStart w:id="11" w:name="_v084nij5yvns" w:colFirst="0" w:colLast="0"/>
      <w:bookmarkEnd w:id="11"/>
      <w:r w:rsidRPr="009B3C1A">
        <w:rPr>
          <w:rFonts w:ascii="Times New Roman" w:eastAsia="Times New Roman" w:hAnsi="Times New Roman" w:cs="Times New Roman"/>
          <w:color w:val="000000" w:themeColor="text1"/>
          <w:sz w:val="24"/>
          <w:szCs w:val="24"/>
        </w:rPr>
        <w:t>Theoretically, doubling N should approximately quadruple the runtime due to the O(N^2) complexity. While this holds true for smaller N, there is a significant discrepancy at larger values.</w:t>
      </w:r>
      <w:r w:rsidRPr="009B3C1A">
        <w:rPr>
          <w:rFonts w:ascii="Times New Roman" w:eastAsia="Times New Roman" w:hAnsi="Times New Roman" w:cs="Times New Roman"/>
          <w:color w:val="000000" w:themeColor="text1"/>
          <w:sz w:val="24"/>
          <w:szCs w:val="24"/>
        </w:rPr>
        <w:br/>
      </w:r>
    </w:p>
    <w:p w14:paraId="37AD84C6" w14:textId="77777777" w:rsidR="00EA2D43" w:rsidRPr="009B3C1A" w:rsidRDefault="00000000">
      <w:pPr>
        <w:pStyle w:val="Heading4"/>
        <w:keepNext w:val="0"/>
        <w:keepLines w:val="0"/>
        <w:numPr>
          <w:ilvl w:val="0"/>
          <w:numId w:val="12"/>
        </w:numPr>
        <w:spacing w:before="0" w:after="0" w:line="240" w:lineRule="auto"/>
        <w:rPr>
          <w:rFonts w:ascii="Times New Roman" w:eastAsia="Times New Roman" w:hAnsi="Times New Roman" w:cs="Times New Roman"/>
          <w:b/>
          <w:color w:val="000000" w:themeColor="text1"/>
        </w:rPr>
      </w:pPr>
      <w:bookmarkStart w:id="12" w:name="_76xh9c5tuvqf" w:colFirst="0" w:colLast="0"/>
      <w:bookmarkEnd w:id="12"/>
      <w:r w:rsidRPr="009B3C1A">
        <w:rPr>
          <w:rFonts w:ascii="Times New Roman" w:eastAsia="Times New Roman" w:hAnsi="Times New Roman" w:cs="Times New Roman"/>
          <w:b/>
          <w:color w:val="000000" w:themeColor="text1"/>
        </w:rPr>
        <w:t xml:space="preserve"> Key Insights:</w:t>
      </w:r>
    </w:p>
    <w:p w14:paraId="16CB78F3" w14:textId="32AC7B1F" w:rsidR="00EA2D43" w:rsidRPr="009B3C1A" w:rsidRDefault="00000000">
      <w:pPr>
        <w:numPr>
          <w:ilvl w:val="0"/>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lastRenderedPageBreak/>
        <w:t>Time Growth Approximates Theoretical O(N^2):</w:t>
      </w:r>
    </w:p>
    <w:p w14:paraId="16EBADAA" w14:textId="6AD10400"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observed growth in runtime roughly follows the </w:t>
      </w:r>
      <w:r w:rsidRPr="009B3C1A">
        <w:rPr>
          <w:rFonts w:ascii="Times New Roman" w:eastAsia="Times New Roman" w:hAnsi="Times New Roman" w:cs="Times New Roman"/>
          <w:b/>
          <w:color w:val="000000" w:themeColor="text1"/>
          <w:sz w:val="24"/>
          <w:szCs w:val="24"/>
        </w:rPr>
        <w:t>O(N^2)</w:t>
      </w:r>
      <w:r w:rsidRPr="009B3C1A">
        <w:rPr>
          <w:rFonts w:ascii="Times New Roman" w:eastAsia="Times New Roman" w:hAnsi="Times New Roman" w:cs="Times New Roman"/>
          <w:color w:val="000000" w:themeColor="text1"/>
          <w:sz w:val="24"/>
          <w:szCs w:val="24"/>
        </w:rPr>
        <w:t xml:space="preserve"> pattern, especially at smaller values of N (e.g., the increase from 50 to 100 matches the expected 4x).</w:t>
      </w:r>
    </w:p>
    <w:p w14:paraId="6A720CC0" w14:textId="77777777"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However, as N increases beyond 100, the actual scaling factor deviates significantly from the theoretical prediction.</w:t>
      </w:r>
      <w:r w:rsidRPr="009B3C1A">
        <w:rPr>
          <w:rFonts w:ascii="Times New Roman" w:eastAsia="Times New Roman" w:hAnsi="Times New Roman" w:cs="Times New Roman"/>
          <w:color w:val="000000" w:themeColor="text1"/>
          <w:sz w:val="24"/>
          <w:szCs w:val="24"/>
        </w:rPr>
        <w:br/>
      </w:r>
    </w:p>
    <w:p w14:paraId="34601238" w14:textId="1DFC1274" w:rsidR="00EA2D43" w:rsidRPr="009B3C1A" w:rsidRDefault="00000000">
      <w:pPr>
        <w:numPr>
          <w:ilvl w:val="0"/>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Python Overhead:</w:t>
      </w:r>
    </w:p>
    <w:p w14:paraId="64A7BA78" w14:textId="77777777"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discrepancy at larger N is mainly due to the </w:t>
      </w:r>
      <w:r w:rsidRPr="009B3C1A">
        <w:rPr>
          <w:rFonts w:ascii="Times New Roman" w:eastAsia="Times New Roman" w:hAnsi="Times New Roman" w:cs="Times New Roman"/>
          <w:b/>
          <w:color w:val="000000" w:themeColor="text1"/>
          <w:sz w:val="24"/>
          <w:szCs w:val="24"/>
        </w:rPr>
        <w:t>overhead from Python's list operations</w:t>
      </w:r>
      <w:r w:rsidRPr="009B3C1A">
        <w:rPr>
          <w:rFonts w:ascii="Times New Roman" w:eastAsia="Times New Roman" w:hAnsi="Times New Roman" w:cs="Times New Roman"/>
          <w:color w:val="000000" w:themeColor="text1"/>
          <w:sz w:val="24"/>
          <w:szCs w:val="24"/>
        </w:rPr>
        <w:t>. These operations become increasingly inefficient as the tree size grows, leading to an unexpectedly high runtime for larger N.</w:t>
      </w:r>
      <w:r w:rsidRPr="009B3C1A">
        <w:rPr>
          <w:rFonts w:ascii="Times New Roman" w:eastAsia="Times New Roman" w:hAnsi="Times New Roman" w:cs="Times New Roman"/>
          <w:color w:val="000000" w:themeColor="text1"/>
          <w:sz w:val="24"/>
          <w:szCs w:val="24"/>
        </w:rPr>
        <w:br/>
      </w:r>
    </w:p>
    <w:p w14:paraId="11A97C6A" w14:textId="6A5CBCD6" w:rsidR="00EA2D43" w:rsidRPr="009B3C1A" w:rsidRDefault="00000000">
      <w:pPr>
        <w:numPr>
          <w:ilvl w:val="0"/>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Diminishing Returns:</w:t>
      </w:r>
    </w:p>
    <w:p w14:paraId="2E16BAC9" w14:textId="77777777" w:rsidR="00EA2D43" w:rsidRPr="009B3C1A" w:rsidRDefault="00000000">
      <w:pPr>
        <w:numPr>
          <w:ilvl w:val="1"/>
          <w:numId w:val="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Doubling the tree depth (from 100 to 200)</w:t>
      </w:r>
      <w:r w:rsidRPr="009B3C1A">
        <w:rPr>
          <w:rFonts w:ascii="Times New Roman" w:eastAsia="Gungsuh" w:hAnsi="Times New Roman" w:cs="Times New Roman"/>
          <w:color w:val="000000" w:themeColor="text1"/>
          <w:sz w:val="24"/>
          <w:szCs w:val="24"/>
        </w:rPr>
        <w:t xml:space="preserve"> results in a </w:t>
      </w:r>
      <w:r w:rsidRPr="009B3C1A">
        <w:rPr>
          <w:rFonts w:ascii="Times New Roman" w:eastAsia="Gungsuh" w:hAnsi="Times New Roman" w:cs="Times New Roman"/>
          <w:color w:val="000000" w:themeColor="text1"/>
          <w:sz w:val="24"/>
          <w:szCs w:val="24"/>
        </w:rPr>
        <w:t>～</w:t>
      </w:r>
      <w:r w:rsidRPr="009B3C1A">
        <w:rPr>
          <w:rFonts w:ascii="Times New Roman" w:eastAsia="Times New Roman" w:hAnsi="Times New Roman" w:cs="Times New Roman"/>
          <w:b/>
          <w:color w:val="000000" w:themeColor="text1"/>
          <w:sz w:val="24"/>
          <w:szCs w:val="24"/>
        </w:rPr>
        <w:t>7x increase in runtime</w:t>
      </w:r>
      <w:r w:rsidRPr="009B3C1A">
        <w:rPr>
          <w:rFonts w:ascii="Times New Roman" w:eastAsia="Times New Roman" w:hAnsi="Times New Roman" w:cs="Times New Roman"/>
          <w:color w:val="000000" w:themeColor="text1"/>
          <w:sz w:val="24"/>
          <w:szCs w:val="24"/>
        </w:rPr>
        <w:t xml:space="preserve">, but the improvement in accuracy is only about </w:t>
      </w:r>
      <w:r w:rsidRPr="009B3C1A">
        <w:rPr>
          <w:rFonts w:ascii="Times New Roman" w:eastAsia="Times New Roman" w:hAnsi="Times New Roman" w:cs="Times New Roman"/>
          <w:b/>
          <w:color w:val="000000" w:themeColor="text1"/>
          <w:sz w:val="24"/>
          <w:szCs w:val="24"/>
        </w:rPr>
        <w:t>0.0048</w:t>
      </w:r>
      <w:r w:rsidRPr="009B3C1A">
        <w:rPr>
          <w:rFonts w:ascii="Times New Roman" w:eastAsia="Times New Roman" w:hAnsi="Times New Roman" w:cs="Times New Roman"/>
          <w:color w:val="000000" w:themeColor="text1"/>
          <w:sz w:val="24"/>
          <w:szCs w:val="24"/>
        </w:rPr>
        <w:t>.</w:t>
      </w:r>
      <w:r w:rsidRPr="009B3C1A">
        <w:rPr>
          <w:rFonts w:ascii="Times New Roman" w:eastAsia="Times New Roman" w:hAnsi="Times New Roman" w:cs="Times New Roman"/>
          <w:color w:val="000000" w:themeColor="text1"/>
          <w:sz w:val="24"/>
          <w:szCs w:val="24"/>
        </w:rPr>
        <w:br/>
      </w:r>
    </w:p>
    <w:p w14:paraId="3908876A" w14:textId="77777777" w:rsidR="00EA2D43" w:rsidRPr="009B3C1A" w:rsidRDefault="00000000">
      <w:pPr>
        <w:numPr>
          <w:ilvl w:val="1"/>
          <w:numId w:val="3"/>
        </w:numPr>
        <w:spacing w:after="240"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This indicates that increasing the number of steps does not always proportionally improve accuracy. Instead, it results in </w:t>
      </w:r>
      <w:r w:rsidRPr="009B3C1A">
        <w:rPr>
          <w:rFonts w:ascii="Times New Roman" w:eastAsia="Times New Roman" w:hAnsi="Times New Roman" w:cs="Times New Roman"/>
          <w:b/>
          <w:color w:val="000000" w:themeColor="text1"/>
          <w:sz w:val="24"/>
          <w:szCs w:val="24"/>
        </w:rPr>
        <w:t>diminishing returns</w:t>
      </w:r>
      <w:r w:rsidRPr="009B3C1A">
        <w:rPr>
          <w:rFonts w:ascii="Times New Roman" w:eastAsia="Times New Roman" w:hAnsi="Times New Roman" w:cs="Times New Roman"/>
          <w:color w:val="000000" w:themeColor="text1"/>
          <w:sz w:val="24"/>
          <w:szCs w:val="24"/>
        </w:rPr>
        <w:t>, where the computational cost outweighs the benefits of the increased precision.</w:t>
      </w:r>
    </w:p>
    <w:p w14:paraId="173FB18C" w14:textId="77777777" w:rsidR="00EA2D43" w:rsidRPr="009B3C1A" w:rsidRDefault="00BC4AF1">
      <w:pPr>
        <w:spacing w:line="240" w:lineRule="auto"/>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350327F3">
          <v:rect id="_x0000_i1027" alt="" style="width:468pt;height:.05pt;mso-width-percent:0;mso-height-percent:0;mso-width-percent:0;mso-height-percent:0" o:hralign="center" o:hrstd="t" o:hr="t" fillcolor="#a0a0a0" stroked="f"/>
        </w:pict>
      </w:r>
    </w:p>
    <w:p w14:paraId="018AF8A4"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13" w:name="_ti5o7ig257cb" w:colFirst="0" w:colLast="0"/>
      <w:bookmarkEnd w:id="13"/>
      <w:r w:rsidRPr="009B3C1A">
        <w:rPr>
          <w:rFonts w:ascii="Times New Roman" w:eastAsia="Times New Roman" w:hAnsi="Times New Roman" w:cs="Times New Roman"/>
          <w:b/>
          <w:bCs/>
          <w:color w:val="000000" w:themeColor="text1"/>
        </w:rPr>
        <w:t>4. Discussion</w:t>
      </w:r>
    </w:p>
    <w:p w14:paraId="46B1FA9B" w14:textId="598B7F42" w:rsidR="00BD5D87"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Why Trinomial Trees Outperform Binomial Models</w:t>
      </w:r>
      <w:r w:rsidRPr="009B3C1A">
        <w:rPr>
          <w:rFonts w:ascii="Times New Roman" w:eastAsia="Times New Roman" w:hAnsi="Times New Roman" w:cs="Times New Roman"/>
          <w:color w:val="000000" w:themeColor="text1"/>
          <w:sz w:val="24"/>
          <w:szCs w:val="24"/>
        </w:rPr>
        <w:t>:</w:t>
      </w:r>
    </w:p>
    <w:p w14:paraId="58C57D55" w14:textId="77777777" w:rsidR="00EA2D43" w:rsidRPr="009B3C1A" w:rsidRDefault="00000000">
      <w:pPr>
        <w:numPr>
          <w:ilvl w:val="0"/>
          <w:numId w:val="8"/>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Finer Discretization</w:t>
      </w:r>
      <w:r w:rsidRPr="009B3C1A">
        <w:rPr>
          <w:rFonts w:ascii="Times New Roman" w:eastAsia="Times New Roman" w:hAnsi="Times New Roman" w:cs="Times New Roman"/>
          <w:color w:val="000000" w:themeColor="text1"/>
          <w:sz w:val="24"/>
          <w:szCs w:val="24"/>
        </w:rPr>
        <w:t xml:space="preserve">: Trinomial trees have </w:t>
      </w:r>
      <w:r w:rsidRPr="009B3C1A">
        <w:rPr>
          <w:rFonts w:ascii="Times New Roman" w:eastAsia="Times New Roman" w:hAnsi="Times New Roman" w:cs="Times New Roman"/>
          <w:b/>
          <w:color w:val="000000" w:themeColor="text1"/>
          <w:sz w:val="24"/>
          <w:szCs w:val="24"/>
        </w:rPr>
        <w:t>three branches per time step (up, down, and neutral)</w:t>
      </w:r>
      <w:r w:rsidRPr="009B3C1A">
        <w:rPr>
          <w:rFonts w:ascii="Times New Roman" w:eastAsia="Times New Roman" w:hAnsi="Times New Roman" w:cs="Times New Roman"/>
          <w:color w:val="000000" w:themeColor="text1"/>
          <w:sz w:val="24"/>
          <w:szCs w:val="24"/>
        </w:rPr>
        <w:t xml:space="preserve"> compared to binomial trees which have only two (up and down). This finer granularity allows trinomial trees to better capture </w:t>
      </w:r>
      <w:r w:rsidRPr="009B3C1A">
        <w:rPr>
          <w:rFonts w:ascii="Times New Roman" w:eastAsia="Times New Roman" w:hAnsi="Times New Roman" w:cs="Times New Roman"/>
          <w:b/>
          <w:color w:val="000000" w:themeColor="text1"/>
          <w:sz w:val="24"/>
          <w:szCs w:val="24"/>
        </w:rPr>
        <w:t>continuous price dynamics</w:t>
      </w:r>
      <w:r w:rsidRPr="009B3C1A">
        <w:rPr>
          <w:rFonts w:ascii="Times New Roman" w:eastAsia="Times New Roman" w:hAnsi="Times New Roman" w:cs="Times New Roman"/>
          <w:color w:val="000000" w:themeColor="text1"/>
          <w:sz w:val="24"/>
          <w:szCs w:val="24"/>
        </w:rPr>
        <w:t>, making them more accurate in modeling underlying asset movements.</w:t>
      </w:r>
    </w:p>
    <w:p w14:paraId="2B661872" w14:textId="6C42CA57" w:rsidR="00EA2D43" w:rsidRPr="009B3C1A" w:rsidRDefault="00000000">
      <w:pPr>
        <w:numPr>
          <w:ilvl w:val="0"/>
          <w:numId w:val="8"/>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Convergence Rate</w:t>
      </w:r>
      <w:r w:rsidRPr="009B3C1A">
        <w:rPr>
          <w:rFonts w:ascii="Times New Roman" w:eastAsia="Times New Roman" w:hAnsi="Times New Roman" w:cs="Times New Roman"/>
          <w:color w:val="000000" w:themeColor="text1"/>
          <w:sz w:val="24"/>
          <w:szCs w:val="24"/>
        </w:rPr>
        <w:t>: Trinomial trees achieve O(1/N) error decay vs. O(1/sqrt(N)) for binomial</w:t>
      </w:r>
      <w:r w:rsidR="00697359">
        <w:rPr>
          <w:rFonts w:ascii="SimSun" w:hAnsi="SimSun" w:cs="SimSun"/>
          <w:color w:val="000000" w:themeColor="text1"/>
          <w:sz w:val="24"/>
          <w:szCs w:val="24"/>
          <w:lang w:val="en-US"/>
        </w:rPr>
        <w:t>.</w:t>
      </w:r>
      <w:r w:rsidRPr="009B3C1A">
        <w:rPr>
          <w:rFonts w:ascii="Times New Roman" w:eastAsia="Times New Roman" w:hAnsi="Times New Roman" w:cs="Times New Roman"/>
          <w:color w:val="000000" w:themeColor="text1"/>
          <w:sz w:val="24"/>
          <w:szCs w:val="24"/>
        </w:rPr>
        <w:t xml:space="preserve">This means that, for a given number of steps, the </w:t>
      </w:r>
      <w:r w:rsidRPr="009B3C1A">
        <w:rPr>
          <w:rFonts w:ascii="Times New Roman" w:eastAsia="Times New Roman" w:hAnsi="Times New Roman" w:cs="Times New Roman"/>
          <w:b/>
          <w:color w:val="000000" w:themeColor="text1"/>
          <w:sz w:val="24"/>
          <w:szCs w:val="24"/>
        </w:rPr>
        <w:t>trinomial model converges to the theoretical price faster</w:t>
      </w:r>
      <w:r w:rsidRPr="009B3C1A">
        <w:rPr>
          <w:rFonts w:ascii="Times New Roman" w:eastAsia="Times New Roman" w:hAnsi="Times New Roman" w:cs="Times New Roman"/>
          <w:color w:val="000000" w:themeColor="text1"/>
          <w:sz w:val="24"/>
          <w:szCs w:val="24"/>
        </w:rPr>
        <w:t xml:space="preserve"> than the binomial model, which makes trinomial trees preferable when higher accuracy is required.</w:t>
      </w:r>
    </w:p>
    <w:p w14:paraId="6E3607B3" w14:textId="77777777" w:rsidR="00C84307" w:rsidRPr="009B3C1A" w:rsidRDefault="00C84307" w:rsidP="00C84307">
      <w:pPr>
        <w:spacing w:line="240" w:lineRule="auto"/>
        <w:ind w:left="720"/>
        <w:rPr>
          <w:rFonts w:ascii="Times New Roman" w:eastAsia="Times New Roman" w:hAnsi="Times New Roman" w:cs="Times New Roman"/>
          <w:color w:val="000000" w:themeColor="text1"/>
          <w:sz w:val="24"/>
          <w:szCs w:val="24"/>
        </w:rPr>
      </w:pPr>
    </w:p>
    <w:p w14:paraId="3DFF624A" w14:textId="579DF439" w:rsidR="00BD5D87"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Limitations &amp; Optimizations</w:t>
      </w:r>
      <w:r w:rsidRPr="009B3C1A">
        <w:rPr>
          <w:rFonts w:ascii="Times New Roman" w:eastAsia="Times New Roman" w:hAnsi="Times New Roman" w:cs="Times New Roman"/>
          <w:color w:val="000000" w:themeColor="text1"/>
          <w:sz w:val="24"/>
          <w:szCs w:val="24"/>
        </w:rPr>
        <w:t>:</w:t>
      </w:r>
    </w:p>
    <w:p w14:paraId="3FC1AC43" w14:textId="77777777" w:rsidR="00EA2D43" w:rsidRPr="009B3C1A" w:rsidRDefault="00000000">
      <w:pPr>
        <w:numPr>
          <w:ilvl w:val="0"/>
          <w:numId w:val="1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Discrete Dividends</w:t>
      </w:r>
      <w:r w:rsidRPr="009B3C1A">
        <w:rPr>
          <w:rFonts w:ascii="Times New Roman" w:eastAsia="Times New Roman" w:hAnsi="Times New Roman" w:cs="Times New Roman"/>
          <w:color w:val="000000" w:themeColor="text1"/>
          <w:sz w:val="24"/>
          <w:szCs w:val="24"/>
        </w:rPr>
        <w:t>: Current model assumes continuous dividends; discrete dividends require tree adjustments.</w:t>
      </w:r>
    </w:p>
    <w:p w14:paraId="03FA5D1C" w14:textId="77777777" w:rsidR="00EA2D43" w:rsidRPr="009B3C1A" w:rsidRDefault="00000000">
      <w:pPr>
        <w:numPr>
          <w:ilvl w:val="0"/>
          <w:numId w:val="13"/>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Adaptive Methods</w:t>
      </w:r>
      <w:r w:rsidRPr="009B3C1A">
        <w:rPr>
          <w:rFonts w:ascii="Times New Roman" w:eastAsia="Times New Roman" w:hAnsi="Times New Roman" w:cs="Times New Roman"/>
          <w:color w:val="000000" w:themeColor="text1"/>
          <w:sz w:val="24"/>
          <w:szCs w:val="24"/>
        </w:rPr>
        <w:t xml:space="preserve">: Variable time stepping near maturity could reduce </w:t>
      </w:r>
      <w:r w:rsidRPr="009B3C1A">
        <w:rPr>
          <w:rFonts w:ascii="Times New Roman" w:eastAsia="Times New Roman" w:hAnsi="Times New Roman" w:cs="Times New Roman"/>
          <w:i/>
          <w:color w:val="000000" w:themeColor="text1"/>
          <w:sz w:val="24"/>
          <w:szCs w:val="24"/>
        </w:rPr>
        <w:t>N</w:t>
      </w:r>
      <w:r w:rsidRPr="009B3C1A">
        <w:rPr>
          <w:rFonts w:ascii="Times New Roman" w:eastAsia="Times New Roman" w:hAnsi="Times New Roman" w:cs="Times New Roman"/>
          <w:color w:val="000000" w:themeColor="text1"/>
          <w:sz w:val="24"/>
          <w:szCs w:val="24"/>
        </w:rPr>
        <w:t xml:space="preserve"> without sacrificing accuracy.</w:t>
      </w:r>
    </w:p>
    <w:p w14:paraId="36D2BBB0" w14:textId="77777777" w:rsidR="00EA2D43" w:rsidRPr="009B3C1A" w:rsidRDefault="00BC4AF1">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546870B4">
          <v:rect id="_x0000_i1026" alt="" style="width:468pt;height:.05pt;mso-width-percent:0;mso-height-percent:0;mso-width-percent:0;mso-height-percent:0" o:hralign="center" o:hrstd="t" o:hr="t" fillcolor="#a0a0a0" stroked="f"/>
        </w:pict>
      </w:r>
    </w:p>
    <w:p w14:paraId="4D771179" w14:textId="77777777" w:rsidR="00EA2D43" w:rsidRPr="009B3C1A" w:rsidRDefault="00000000">
      <w:pPr>
        <w:pStyle w:val="Heading2"/>
        <w:spacing w:line="240" w:lineRule="auto"/>
        <w:rPr>
          <w:rFonts w:ascii="Times New Roman" w:eastAsia="Times New Roman" w:hAnsi="Times New Roman" w:cs="Times New Roman"/>
          <w:b/>
          <w:bCs/>
          <w:color w:val="000000" w:themeColor="text1"/>
        </w:rPr>
      </w:pPr>
      <w:bookmarkStart w:id="14" w:name="_vu1kg1x4fz2t" w:colFirst="0" w:colLast="0"/>
      <w:bookmarkEnd w:id="14"/>
      <w:r w:rsidRPr="009B3C1A">
        <w:rPr>
          <w:rFonts w:ascii="Times New Roman" w:eastAsia="Times New Roman" w:hAnsi="Times New Roman" w:cs="Times New Roman"/>
          <w:b/>
          <w:bCs/>
          <w:color w:val="000000" w:themeColor="text1"/>
        </w:rPr>
        <w:t>5. Conclusion</w:t>
      </w:r>
    </w:p>
    <w:p w14:paraId="6BE6342F" w14:textId="77777777" w:rsidR="00EA2D43" w:rsidRPr="009B3C1A" w:rsidRDefault="00000000">
      <w:p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Trinomial trees offer a versatile framework for pricing European and American options, with robust convergence to Black-Scholes values and efficient handling of dividends. Key findings:</w:t>
      </w:r>
    </w:p>
    <w:p w14:paraId="15D6C2A3" w14:textId="77777777" w:rsidR="00C84307" w:rsidRPr="009B3C1A" w:rsidRDefault="00C84307">
      <w:pPr>
        <w:spacing w:line="240" w:lineRule="auto"/>
        <w:rPr>
          <w:rFonts w:ascii="Times New Roman" w:eastAsia="Times New Roman" w:hAnsi="Times New Roman" w:cs="Times New Roman"/>
          <w:color w:val="000000" w:themeColor="text1"/>
          <w:sz w:val="24"/>
          <w:szCs w:val="24"/>
        </w:rPr>
      </w:pPr>
    </w:p>
    <w:p w14:paraId="796CD81F" w14:textId="77777777" w:rsidR="00EA2D43" w:rsidRPr="009B3C1A" w:rsidRDefault="00000000">
      <w:pPr>
        <w:numPr>
          <w:ilvl w:val="0"/>
          <w:numId w:val="15"/>
        </w:num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Convergence:</w:t>
      </w:r>
    </w:p>
    <w:p w14:paraId="5FAC106D" w14:textId="77777777" w:rsidR="00EA2D43" w:rsidRPr="009B3C1A" w:rsidRDefault="00000000">
      <w:pPr>
        <w:numPr>
          <w:ilvl w:val="0"/>
          <w:numId w:val="5"/>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As the tree depth NNN increases, the error decays linearly (approximately O(1/N)).</w:t>
      </w:r>
      <w:r w:rsidRPr="009B3C1A">
        <w:rPr>
          <w:rFonts w:ascii="Times New Roman" w:eastAsia="Times New Roman" w:hAnsi="Times New Roman" w:cs="Times New Roman"/>
          <w:color w:val="000000" w:themeColor="text1"/>
          <w:sz w:val="24"/>
          <w:szCs w:val="24"/>
        </w:rPr>
        <w:br/>
      </w:r>
    </w:p>
    <w:p w14:paraId="66FF067A" w14:textId="77777777" w:rsidR="00EA2D43" w:rsidRPr="009B3C1A" w:rsidRDefault="00000000">
      <w:pPr>
        <w:numPr>
          <w:ilvl w:val="0"/>
          <w:numId w:val="5"/>
        </w:numPr>
        <w:spacing w:line="240" w:lineRule="auto"/>
        <w:rPr>
          <w:rFonts w:ascii="Times New Roman" w:eastAsia="Times New Roman" w:hAnsi="Times New Roman" w:cs="Times New Roman"/>
          <w:color w:val="000000" w:themeColor="text1"/>
          <w:sz w:val="24"/>
          <w:szCs w:val="24"/>
        </w:rPr>
      </w:pPr>
      <w:r w:rsidRPr="009B3C1A">
        <w:rPr>
          <w:rFonts w:ascii="Times New Roman" w:eastAsia="Gungsuh" w:hAnsi="Times New Roman" w:cs="Times New Roman"/>
          <w:color w:val="000000" w:themeColor="text1"/>
          <w:sz w:val="24"/>
          <w:szCs w:val="24"/>
        </w:rPr>
        <w:t xml:space="preserve">At N=300, the model achieves an error of ≤0.33%, demonstrating good accuracy when using </w:t>
      </w:r>
      <w:proofErr w:type="gramStart"/>
      <w:r w:rsidRPr="009B3C1A">
        <w:rPr>
          <w:rFonts w:ascii="Times New Roman" w:eastAsia="Gungsuh" w:hAnsi="Times New Roman" w:cs="Times New Roman"/>
          <w:color w:val="000000" w:themeColor="text1"/>
          <w:sz w:val="24"/>
          <w:szCs w:val="24"/>
        </w:rPr>
        <w:t>a sufficient number of</w:t>
      </w:r>
      <w:proofErr w:type="gramEnd"/>
      <w:r w:rsidRPr="009B3C1A">
        <w:rPr>
          <w:rFonts w:ascii="Times New Roman" w:eastAsia="Gungsuh" w:hAnsi="Times New Roman" w:cs="Times New Roman"/>
          <w:color w:val="000000" w:themeColor="text1"/>
          <w:sz w:val="24"/>
          <w:szCs w:val="24"/>
        </w:rPr>
        <w:t xml:space="preserve"> steps.</w:t>
      </w:r>
    </w:p>
    <w:p w14:paraId="11A256AE" w14:textId="77777777" w:rsidR="00C84307" w:rsidRPr="009B3C1A" w:rsidRDefault="00C84307" w:rsidP="00C84307">
      <w:pPr>
        <w:spacing w:line="240" w:lineRule="auto"/>
        <w:ind w:left="1440"/>
        <w:rPr>
          <w:rFonts w:ascii="Times New Roman" w:eastAsia="Times New Roman" w:hAnsi="Times New Roman" w:cs="Times New Roman"/>
          <w:color w:val="000000" w:themeColor="text1"/>
          <w:sz w:val="24"/>
          <w:szCs w:val="24"/>
        </w:rPr>
      </w:pPr>
    </w:p>
    <w:p w14:paraId="60A87133" w14:textId="77777777" w:rsidR="00EA2D43" w:rsidRPr="009B3C1A" w:rsidRDefault="00000000">
      <w:pPr>
        <w:numPr>
          <w:ilvl w:val="0"/>
          <w:numId w:val="15"/>
        </w:num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Early Exercise:</w:t>
      </w:r>
    </w:p>
    <w:p w14:paraId="390BAD89" w14:textId="77777777" w:rsidR="00EA2D43" w:rsidRPr="009B3C1A" w:rsidRDefault="00000000">
      <w:pPr>
        <w:numPr>
          <w:ilvl w:val="0"/>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American Put Options:</w:t>
      </w:r>
      <w:r w:rsidRPr="009B3C1A">
        <w:rPr>
          <w:rFonts w:ascii="Times New Roman" w:eastAsia="Times New Roman" w:hAnsi="Times New Roman" w:cs="Times New Roman"/>
          <w:b/>
          <w:color w:val="000000" w:themeColor="text1"/>
          <w:sz w:val="24"/>
          <w:szCs w:val="24"/>
        </w:rPr>
        <w:br/>
      </w:r>
    </w:p>
    <w:p w14:paraId="100D2BDA"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Significant early exercise premiums are observed (ranging from 3% to 8.5%) when dividends are absent.</w:t>
      </w:r>
      <w:r w:rsidRPr="009B3C1A">
        <w:rPr>
          <w:rFonts w:ascii="Times New Roman" w:eastAsia="Times New Roman" w:hAnsi="Times New Roman" w:cs="Times New Roman"/>
          <w:color w:val="000000" w:themeColor="text1"/>
          <w:sz w:val="24"/>
          <w:szCs w:val="24"/>
        </w:rPr>
        <w:br/>
      </w:r>
    </w:p>
    <w:p w14:paraId="6457FDD2"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This aligns with the concept that early exercise becomes valuable when the option is deep in the money, allowing the holder to realize intrinsic value earlier.</w:t>
      </w:r>
      <w:r w:rsidRPr="009B3C1A">
        <w:rPr>
          <w:rFonts w:ascii="Times New Roman" w:eastAsia="Times New Roman" w:hAnsi="Times New Roman" w:cs="Times New Roman"/>
          <w:color w:val="000000" w:themeColor="text1"/>
          <w:sz w:val="24"/>
          <w:szCs w:val="24"/>
        </w:rPr>
        <w:br/>
      </w:r>
    </w:p>
    <w:p w14:paraId="1EB140E6" w14:textId="77777777" w:rsidR="00EA2D43" w:rsidRPr="009B3C1A" w:rsidRDefault="00000000">
      <w:pPr>
        <w:numPr>
          <w:ilvl w:val="0"/>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b/>
          <w:color w:val="000000" w:themeColor="text1"/>
          <w:sz w:val="24"/>
          <w:szCs w:val="24"/>
        </w:rPr>
        <w:t>American Call Options:</w:t>
      </w:r>
      <w:r w:rsidRPr="009B3C1A">
        <w:rPr>
          <w:rFonts w:ascii="Times New Roman" w:eastAsia="Times New Roman" w:hAnsi="Times New Roman" w:cs="Times New Roman"/>
          <w:b/>
          <w:color w:val="000000" w:themeColor="text1"/>
          <w:sz w:val="24"/>
          <w:szCs w:val="24"/>
        </w:rPr>
        <w:br/>
      </w:r>
    </w:p>
    <w:p w14:paraId="111388B5"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Without dividends, American calls align closely with European prices. This consistency is expected since it is generally not optimal to exercise call options early when dividends are not involved (consistent with Merton's theory).</w:t>
      </w:r>
      <w:r w:rsidRPr="009B3C1A">
        <w:rPr>
          <w:rFonts w:ascii="Times New Roman" w:eastAsia="Times New Roman" w:hAnsi="Times New Roman" w:cs="Times New Roman"/>
          <w:color w:val="000000" w:themeColor="text1"/>
          <w:sz w:val="24"/>
          <w:szCs w:val="24"/>
        </w:rPr>
        <w:br/>
      </w:r>
    </w:p>
    <w:p w14:paraId="3570305E" w14:textId="77777777" w:rsidR="00EA2D43" w:rsidRPr="009B3C1A" w:rsidRDefault="00000000">
      <w:pPr>
        <w:numPr>
          <w:ilvl w:val="1"/>
          <w:numId w:val="9"/>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When dividends are present, early exercise becomes slightly more attractive, but the premium remains minimal, indicating that early exercise is still not significantly beneficial in most scenarios.</w:t>
      </w:r>
    </w:p>
    <w:p w14:paraId="5DB29510" w14:textId="77777777" w:rsidR="00C84307" w:rsidRPr="009B3C1A" w:rsidRDefault="00C84307" w:rsidP="00C84307">
      <w:pPr>
        <w:spacing w:line="240" w:lineRule="auto"/>
        <w:ind w:left="2160"/>
        <w:rPr>
          <w:rFonts w:ascii="Times New Roman" w:eastAsia="Times New Roman" w:hAnsi="Times New Roman" w:cs="Times New Roman"/>
          <w:color w:val="000000" w:themeColor="text1"/>
          <w:sz w:val="24"/>
          <w:szCs w:val="24"/>
        </w:rPr>
      </w:pPr>
    </w:p>
    <w:p w14:paraId="2BFC4ADC" w14:textId="77777777" w:rsidR="00EA2D43" w:rsidRPr="009B3C1A" w:rsidRDefault="00000000">
      <w:pPr>
        <w:numPr>
          <w:ilvl w:val="0"/>
          <w:numId w:val="15"/>
        </w:numPr>
        <w:spacing w:line="240" w:lineRule="auto"/>
        <w:rPr>
          <w:rFonts w:ascii="Times New Roman" w:eastAsia="Times New Roman" w:hAnsi="Times New Roman" w:cs="Times New Roman"/>
          <w:b/>
          <w:color w:val="000000" w:themeColor="text1"/>
          <w:sz w:val="24"/>
          <w:szCs w:val="24"/>
        </w:rPr>
      </w:pPr>
      <w:r w:rsidRPr="009B3C1A">
        <w:rPr>
          <w:rFonts w:ascii="Times New Roman" w:eastAsia="Times New Roman" w:hAnsi="Times New Roman" w:cs="Times New Roman"/>
          <w:b/>
          <w:color w:val="000000" w:themeColor="text1"/>
          <w:sz w:val="24"/>
          <w:szCs w:val="24"/>
        </w:rPr>
        <w:t>Efficiency:</w:t>
      </w:r>
    </w:p>
    <w:p w14:paraId="08D0A30E" w14:textId="77777777" w:rsidR="00EA2D43" w:rsidRPr="009B3C1A" w:rsidRDefault="00000000">
      <w:pPr>
        <w:numPr>
          <w:ilvl w:val="0"/>
          <w:numId w:val="1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The trinomial tree model is computationally efficient for </w:t>
      </w:r>
      <w:r w:rsidRPr="009B3C1A">
        <w:rPr>
          <w:rFonts w:ascii="Times New Roman" w:eastAsia="Gungsuh" w:hAnsi="Times New Roman" w:cs="Times New Roman"/>
          <w:b/>
          <w:color w:val="000000" w:themeColor="text1"/>
          <w:sz w:val="24"/>
          <w:szCs w:val="24"/>
        </w:rPr>
        <w:t>N≤300</w:t>
      </w:r>
      <w:r w:rsidRPr="009B3C1A">
        <w:rPr>
          <w:rFonts w:ascii="Times New Roman" w:eastAsia="Times New Roman" w:hAnsi="Times New Roman" w:cs="Times New Roman"/>
          <w:color w:val="000000" w:themeColor="text1"/>
          <w:sz w:val="24"/>
          <w:szCs w:val="24"/>
        </w:rPr>
        <w:t xml:space="preserve">. Beyond this threshold, the </w:t>
      </w:r>
      <w:r w:rsidRPr="009B3C1A">
        <w:rPr>
          <w:rFonts w:ascii="Times New Roman" w:eastAsia="Times New Roman" w:hAnsi="Times New Roman" w:cs="Times New Roman"/>
          <w:b/>
          <w:color w:val="000000" w:themeColor="text1"/>
          <w:sz w:val="24"/>
          <w:szCs w:val="24"/>
        </w:rPr>
        <w:t>computational cost significantly outweighs the accuracy gains</w:t>
      </w:r>
      <w:r w:rsidRPr="009B3C1A">
        <w:rPr>
          <w:rFonts w:ascii="Times New Roman" w:eastAsia="Times New Roman" w:hAnsi="Times New Roman" w:cs="Times New Roman"/>
          <w:color w:val="000000" w:themeColor="text1"/>
          <w:sz w:val="24"/>
          <w:szCs w:val="24"/>
        </w:rPr>
        <w:t>, showing diminishing returns.</w:t>
      </w:r>
      <w:r w:rsidRPr="009B3C1A">
        <w:rPr>
          <w:rFonts w:ascii="Times New Roman" w:eastAsia="Times New Roman" w:hAnsi="Times New Roman" w:cs="Times New Roman"/>
          <w:color w:val="000000" w:themeColor="text1"/>
          <w:sz w:val="24"/>
          <w:szCs w:val="24"/>
        </w:rPr>
        <w:br/>
      </w:r>
    </w:p>
    <w:p w14:paraId="470C0E5A" w14:textId="77777777" w:rsidR="00EA2D43" w:rsidRPr="009B3C1A" w:rsidRDefault="00000000">
      <w:pPr>
        <w:numPr>
          <w:ilvl w:val="0"/>
          <w:numId w:val="14"/>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As the tree depth increases beyond 300, the improvement in accuracy becomes marginal, while the runtime increases exponentially.</w:t>
      </w:r>
      <w:r w:rsidRPr="009B3C1A">
        <w:rPr>
          <w:rFonts w:ascii="Times New Roman" w:eastAsia="Times New Roman" w:hAnsi="Times New Roman" w:cs="Times New Roman"/>
          <w:color w:val="000000" w:themeColor="text1"/>
          <w:sz w:val="24"/>
          <w:szCs w:val="24"/>
        </w:rPr>
        <w:br/>
      </w:r>
    </w:p>
    <w:p w14:paraId="7CF03930" w14:textId="07E4AD17" w:rsidR="00EA2D43" w:rsidRPr="00732C55" w:rsidRDefault="00000000" w:rsidP="00732C55">
      <w:pPr>
        <w:numPr>
          <w:ilvl w:val="0"/>
          <w:numId w:val="14"/>
        </w:numPr>
        <w:spacing w:after="240"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Therefore, it is crucial to balance accuracy and computational cost, especially when high precision is not critically needed.</w:t>
      </w:r>
    </w:p>
    <w:p w14:paraId="26CEEA9D" w14:textId="77777777" w:rsidR="00EA2D43" w:rsidRPr="009B3C1A" w:rsidRDefault="00BC4AF1">
      <w:pPr>
        <w:spacing w:line="24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rPr>
        <w:pict w14:anchorId="554F806B">
          <v:rect id="_x0000_i1025" alt="" style="width:468pt;height:.05pt;mso-width-percent:0;mso-height-percent:0;mso-width-percent:0;mso-height-percent:0" o:hralign="center" o:hrstd="t" o:hr="t" fillcolor="#a0a0a0" stroked="f"/>
        </w:pict>
      </w:r>
    </w:p>
    <w:p w14:paraId="3460778D" w14:textId="72880197" w:rsidR="00EA2D43" w:rsidRPr="00697359" w:rsidRDefault="00000000" w:rsidP="00697359">
      <w:pPr>
        <w:spacing w:line="240" w:lineRule="auto"/>
        <w:rPr>
          <w:rFonts w:ascii="Times New Roman" w:eastAsia="Times New Roman" w:hAnsi="Times New Roman" w:cs="Times New Roman"/>
          <w:b/>
          <w:color w:val="000000" w:themeColor="text1"/>
          <w:sz w:val="32"/>
          <w:szCs w:val="32"/>
        </w:rPr>
      </w:pPr>
      <w:r w:rsidRPr="00732C55">
        <w:rPr>
          <w:rFonts w:ascii="Times New Roman" w:eastAsia="Times New Roman" w:hAnsi="Times New Roman" w:cs="Times New Roman"/>
          <w:b/>
          <w:color w:val="000000" w:themeColor="text1"/>
          <w:sz w:val="32"/>
          <w:szCs w:val="32"/>
        </w:rPr>
        <w:t>References</w:t>
      </w:r>
    </w:p>
    <w:p w14:paraId="025761A8" w14:textId="59DAC19A" w:rsidR="00EA2D43" w:rsidRPr="00BD5D87" w:rsidRDefault="00000000" w:rsidP="00BD5D87">
      <w:pPr>
        <w:numPr>
          <w:ilvl w:val="0"/>
          <w:numId w:val="11"/>
        </w:numPr>
        <w:spacing w:line="240" w:lineRule="auto"/>
        <w:rPr>
          <w:rFonts w:ascii="Times New Roman" w:eastAsia="Times New Roman" w:hAnsi="Times New Roman" w:cs="Times New Roman"/>
          <w:color w:val="000000" w:themeColor="text1"/>
          <w:sz w:val="24"/>
          <w:szCs w:val="24"/>
        </w:rPr>
      </w:pPr>
      <w:r w:rsidRPr="009B3C1A">
        <w:rPr>
          <w:rFonts w:ascii="Times New Roman" w:eastAsia="Times New Roman" w:hAnsi="Times New Roman" w:cs="Times New Roman"/>
          <w:color w:val="000000" w:themeColor="text1"/>
          <w:sz w:val="24"/>
          <w:szCs w:val="24"/>
        </w:rPr>
        <w:t xml:space="preserve">Merton, R. C. (1973). Theory of Rational Option Pricing. </w:t>
      </w:r>
      <w:r w:rsidRPr="009B3C1A">
        <w:rPr>
          <w:rFonts w:ascii="Times New Roman" w:eastAsia="Times New Roman" w:hAnsi="Times New Roman" w:cs="Times New Roman"/>
          <w:i/>
          <w:color w:val="000000" w:themeColor="text1"/>
          <w:sz w:val="24"/>
          <w:szCs w:val="24"/>
        </w:rPr>
        <w:t>Bell Journal of Economics</w:t>
      </w:r>
      <w:r w:rsidRPr="009B3C1A">
        <w:rPr>
          <w:rFonts w:ascii="Times New Roman" w:eastAsia="Times New Roman" w:hAnsi="Times New Roman" w:cs="Times New Roman"/>
          <w:color w:val="000000" w:themeColor="text1"/>
          <w:sz w:val="24"/>
          <w:szCs w:val="24"/>
        </w:rPr>
        <w:t>.</w:t>
      </w:r>
    </w:p>
    <w:sectPr w:rsidR="00EA2D43" w:rsidRPr="00BD5D87">
      <w:footerReference w:type="even"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B6A00" w14:textId="77777777" w:rsidR="00BC4AF1" w:rsidRDefault="00BC4AF1" w:rsidP="0050122F">
      <w:pPr>
        <w:spacing w:line="240" w:lineRule="auto"/>
      </w:pPr>
      <w:r>
        <w:separator/>
      </w:r>
    </w:p>
  </w:endnote>
  <w:endnote w:type="continuationSeparator" w:id="0">
    <w:p w14:paraId="5A706DD7" w14:textId="77777777" w:rsidR="00BC4AF1" w:rsidRDefault="00BC4AF1" w:rsidP="005012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67C809A-3CAF-D148-A25B-157E9F1CA300}"/>
    <w:embedBold r:id="rId2" w:fontKey="{CC594A9B-412B-A94D-8CF8-6F3BB5FF898C}"/>
    <w:embedItalic r:id="rId3" w:fontKey="{2F0B1990-4FE4-344A-826B-1F4F8F6750AF}"/>
  </w:font>
  <w:font w:name="Arial">
    <w:panose1 w:val="020B0604020202020204"/>
    <w:charset w:val="00"/>
    <w:family w:val="swiss"/>
    <w:pitch w:val="variable"/>
    <w:sig w:usb0="E0002AFF" w:usb1="C0007843" w:usb2="00000009" w:usb3="00000000" w:csb0="000001FF" w:csb1="00000000"/>
    <w:embedRegular r:id="rId4" w:fontKey="{A738557C-EBEB-2345-A56E-830708255A5C}"/>
    <w:embedItalic r:id="rId5" w:fontKey="{FC26F4B9-B6CF-484E-8413-D36A54B4A474}"/>
  </w:font>
  <w:font w:name="SimSun">
    <w:altName w:val="宋体"/>
    <w:panose1 w:val="02010600030101010101"/>
    <w:charset w:val="86"/>
    <w:family w:val="auto"/>
    <w:pitch w:val="variable"/>
    <w:sig w:usb0="00000203" w:usb1="288F0000" w:usb2="00000016" w:usb3="00000000" w:csb0="00040001" w:csb1="00000000"/>
    <w:embedRegular r:id="rId6" w:subsetted="1" w:fontKey="{7E8EB25E-5149-D54B-8D63-F20E7AC91D21}"/>
  </w:font>
  <w:font w:name="Cardo">
    <w:charset w:val="00"/>
    <w:family w:val="auto"/>
    <w:pitch w:val="default"/>
    <w:embedRegular r:id="rId7" w:fontKey="{84DC458D-5516-6D4D-AC4C-5D63F4D62C5C}"/>
  </w:font>
  <w:font w:name="Gungsuh">
    <w:panose1 w:val="02030600000101010101"/>
    <w:charset w:val="81"/>
    <w:family w:val="roman"/>
    <w:pitch w:val="variable"/>
    <w:sig w:usb0="B00002AF" w:usb1="69D77CFB" w:usb2="00000030" w:usb3="00000000" w:csb0="0008009F" w:csb1="00000000"/>
    <w:embedRegular r:id="rId8" w:subsetted="1" w:fontKey="{16EAFA6F-C836-AA48-9EC5-89F36776EA8C}"/>
  </w:font>
  <w:font w:name="Calibri">
    <w:panose1 w:val="020F0502020204030204"/>
    <w:charset w:val="00"/>
    <w:family w:val="swiss"/>
    <w:pitch w:val="variable"/>
    <w:sig w:usb0="E4002EFF" w:usb1="C200247B" w:usb2="00000009" w:usb3="00000000" w:csb0="000001FF" w:csb1="00000000"/>
    <w:embedRegular r:id="rId9" w:fontKey="{5E2BE189-C800-554D-9762-CB677C7F3E42}"/>
  </w:font>
  <w:font w:name="Cambria">
    <w:panose1 w:val="02040503050406030204"/>
    <w:charset w:val="00"/>
    <w:family w:val="roman"/>
    <w:pitch w:val="variable"/>
    <w:sig w:usb0="E00006FF" w:usb1="420024FF" w:usb2="02000000" w:usb3="00000000" w:csb0="0000019F" w:csb1="00000000"/>
    <w:embedRegular r:id="rId10" w:fontKey="{2D626C90-6C97-DD43-B9EA-C28DC610F6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2639417"/>
      <w:docPartObj>
        <w:docPartGallery w:val="Page Numbers (Bottom of Page)"/>
        <w:docPartUnique/>
      </w:docPartObj>
    </w:sdtPr>
    <w:sdtContent>
      <w:p w14:paraId="613B726B" w14:textId="06CC5682" w:rsidR="0050122F" w:rsidRDefault="0050122F" w:rsidP="00737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CE9BCB" w14:textId="77777777" w:rsidR="0050122F" w:rsidRDefault="0050122F" w:rsidP="005012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7105428"/>
      <w:docPartObj>
        <w:docPartGallery w:val="Page Numbers (Bottom of Page)"/>
        <w:docPartUnique/>
      </w:docPartObj>
    </w:sdtPr>
    <w:sdtContent>
      <w:p w14:paraId="4C6C144E" w14:textId="12DD7792" w:rsidR="0050122F" w:rsidRDefault="0050122F" w:rsidP="00737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D41665" w14:textId="77777777" w:rsidR="0050122F" w:rsidRDefault="0050122F" w:rsidP="0050122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C7039" w14:textId="77777777" w:rsidR="00BC4AF1" w:rsidRDefault="00BC4AF1" w:rsidP="0050122F">
      <w:pPr>
        <w:spacing w:line="240" w:lineRule="auto"/>
      </w:pPr>
      <w:r>
        <w:separator/>
      </w:r>
    </w:p>
  </w:footnote>
  <w:footnote w:type="continuationSeparator" w:id="0">
    <w:p w14:paraId="4ADA200D" w14:textId="77777777" w:rsidR="00BC4AF1" w:rsidRDefault="00BC4AF1" w:rsidP="005012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D96"/>
    <w:multiLevelType w:val="multilevel"/>
    <w:tmpl w:val="03AC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038F9"/>
    <w:multiLevelType w:val="multilevel"/>
    <w:tmpl w:val="EAB6F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B76F0D"/>
    <w:multiLevelType w:val="multilevel"/>
    <w:tmpl w:val="3DFA0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BD19E8"/>
    <w:multiLevelType w:val="multilevel"/>
    <w:tmpl w:val="35624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BEF0456"/>
    <w:multiLevelType w:val="multilevel"/>
    <w:tmpl w:val="F968A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4A0CED"/>
    <w:multiLevelType w:val="multilevel"/>
    <w:tmpl w:val="033EB1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BAD7571"/>
    <w:multiLevelType w:val="multilevel"/>
    <w:tmpl w:val="64EC1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DB2DD8"/>
    <w:multiLevelType w:val="multilevel"/>
    <w:tmpl w:val="F09C3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DD136D"/>
    <w:multiLevelType w:val="multilevel"/>
    <w:tmpl w:val="F33CC3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85502DB"/>
    <w:multiLevelType w:val="multilevel"/>
    <w:tmpl w:val="96D87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F92422"/>
    <w:multiLevelType w:val="multilevel"/>
    <w:tmpl w:val="BF94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D73D07"/>
    <w:multiLevelType w:val="multilevel"/>
    <w:tmpl w:val="CE564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ABC4B8C"/>
    <w:multiLevelType w:val="multilevel"/>
    <w:tmpl w:val="FA9A7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D30523"/>
    <w:multiLevelType w:val="multilevel"/>
    <w:tmpl w:val="5E869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D7A7A9B"/>
    <w:multiLevelType w:val="multilevel"/>
    <w:tmpl w:val="BACC9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3723340">
    <w:abstractNumId w:val="2"/>
  </w:num>
  <w:num w:numId="2" w16cid:durableId="42948331">
    <w:abstractNumId w:val="3"/>
  </w:num>
  <w:num w:numId="3" w16cid:durableId="157111493">
    <w:abstractNumId w:val="8"/>
  </w:num>
  <w:num w:numId="4" w16cid:durableId="60636735">
    <w:abstractNumId w:val="9"/>
  </w:num>
  <w:num w:numId="5" w16cid:durableId="1220747710">
    <w:abstractNumId w:val="5"/>
  </w:num>
  <w:num w:numId="6" w16cid:durableId="295794293">
    <w:abstractNumId w:val="0"/>
  </w:num>
  <w:num w:numId="7" w16cid:durableId="718285120">
    <w:abstractNumId w:val="14"/>
  </w:num>
  <w:num w:numId="8" w16cid:durableId="1729376390">
    <w:abstractNumId w:val="6"/>
  </w:num>
  <w:num w:numId="9" w16cid:durableId="952514090">
    <w:abstractNumId w:val="7"/>
  </w:num>
  <w:num w:numId="10" w16cid:durableId="1054810583">
    <w:abstractNumId w:val="10"/>
  </w:num>
  <w:num w:numId="11" w16cid:durableId="1678967557">
    <w:abstractNumId w:val="12"/>
  </w:num>
  <w:num w:numId="12" w16cid:durableId="1492209677">
    <w:abstractNumId w:val="4"/>
  </w:num>
  <w:num w:numId="13" w16cid:durableId="1369723014">
    <w:abstractNumId w:val="1"/>
  </w:num>
  <w:num w:numId="14" w16cid:durableId="1169171773">
    <w:abstractNumId w:val="11"/>
  </w:num>
  <w:num w:numId="15" w16cid:durableId="20109359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D43"/>
    <w:rsid w:val="000D0A9C"/>
    <w:rsid w:val="000F4625"/>
    <w:rsid w:val="0016759A"/>
    <w:rsid w:val="0023577A"/>
    <w:rsid w:val="003D0A6F"/>
    <w:rsid w:val="0050122F"/>
    <w:rsid w:val="00697359"/>
    <w:rsid w:val="00732C55"/>
    <w:rsid w:val="0074359A"/>
    <w:rsid w:val="008B32F2"/>
    <w:rsid w:val="009B3C1A"/>
    <w:rsid w:val="00BC4AF1"/>
    <w:rsid w:val="00BD5D87"/>
    <w:rsid w:val="00C84307"/>
    <w:rsid w:val="00CD604D"/>
    <w:rsid w:val="00DD4456"/>
    <w:rsid w:val="00DE4BAF"/>
    <w:rsid w:val="00EA2D43"/>
    <w:rsid w:val="00F84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AED9"/>
  <w15:docId w15:val="{47F249AA-6A83-8D4D-9A53-F096D83D0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50122F"/>
    <w:pPr>
      <w:tabs>
        <w:tab w:val="center" w:pos="4680"/>
        <w:tab w:val="right" w:pos="9360"/>
      </w:tabs>
      <w:spacing w:line="240" w:lineRule="auto"/>
    </w:pPr>
  </w:style>
  <w:style w:type="character" w:customStyle="1" w:styleId="FooterChar">
    <w:name w:val="Footer Char"/>
    <w:basedOn w:val="DefaultParagraphFont"/>
    <w:link w:val="Footer"/>
    <w:uiPriority w:val="99"/>
    <w:rsid w:val="0050122F"/>
  </w:style>
  <w:style w:type="character" w:styleId="PageNumber">
    <w:name w:val="page number"/>
    <w:basedOn w:val="DefaultParagraphFont"/>
    <w:uiPriority w:val="99"/>
    <w:semiHidden/>
    <w:unhideWhenUsed/>
    <w:rsid w:val="00501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1223</Words>
  <Characters>6972</Characters>
  <Application>Microsoft Office Word</Application>
  <DocSecurity>0</DocSecurity>
  <Lines>58</Lines>
  <Paragraphs>16</Paragraphs>
  <ScaleCrop>false</ScaleCrop>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YaoDuoduo</cp:lastModifiedBy>
  <cp:revision>15</cp:revision>
  <dcterms:created xsi:type="dcterms:W3CDTF">2025-04-01T18:08:00Z</dcterms:created>
  <dcterms:modified xsi:type="dcterms:W3CDTF">2025-04-01T18:23:00Z</dcterms:modified>
</cp:coreProperties>
</file>