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B06AB">
      <w:pPr>
        <w:pStyle w:val="11"/>
      </w:pPr>
      <w:r>
        <w:t>宏观组分析框架手册</w:t>
      </w:r>
    </w:p>
    <w:p w14:paraId="3C126A0D">
      <w:pPr>
        <w:pStyle w:val="4"/>
      </w:pPr>
      <w:r>
        <w:rPr>
          <w:b/>
        </w:rPr>
        <w:t>文档版本：V3.1</w:t>
      </w:r>
      <w:r>
        <w:br w:type="textWrapping"/>
      </w:r>
      <w:r>
        <w:rPr>
          <w:b/>
        </w:rPr>
        <w:t>适用范围：</w:t>
      </w:r>
      <w:r>
        <w:t xml:space="preserve"> AI Renaissance 项目宏观组全体成员</w:t>
      </w:r>
      <w:r>
        <w:br w:type="textWrapping"/>
      </w:r>
      <w:r>
        <w:rPr>
          <w:b/>
        </w:rPr>
        <w:t>文档性质：</w:t>
      </w:r>
      <w:r>
        <w:t xml:space="preserve"> 内部认知对齐标准、执业操作规范、AI 开发底层依据</w:t>
      </w:r>
      <w:r>
        <w:br w:type="textWrapping"/>
      </w:r>
      <w:r>
        <w:rPr>
          <w:b/>
        </w:rPr>
        <w:t>版本说明：</w:t>
      </w:r>
      <w:r>
        <w:t xml:space="preserve"> 本版本架构为"7 层流水线"（新增 Layer 4.5 反身性与元认知层），基于五大底层公理，聚焦 AI 科技主线；V3.1 新增反身性压力计、逻辑生命周期监控、范式稳定性监测、人类裁决接口，为"执行大脑"叠加"观察大脑"，解决框架在共识拥挤与范式转移环境下的信号可靠性问题</w:t>
      </w:r>
    </w:p>
    <w:p w14:paraId="45786D84">
      <w:pPr>
        <w:pBdr>
          <w:bottom w:val="single" w:color="auto" w:sz="8" w:space="0"/>
        </w:pBdr>
      </w:pPr>
    </w:p>
    <w:p w14:paraId="16D10334">
      <w:pPr>
        <w:pStyle w:val="10"/>
      </w:pPr>
      <w:r>
        <w:t>一、什么是宏观分析</w:t>
      </w:r>
    </w:p>
    <w:p w14:paraId="68E9EE05">
      <w:pPr>
        <w:pStyle w:val="4"/>
      </w:pPr>
      <w:r>
        <w:t>本手册所指宏观分析，是以经济增长、流动性、通胀、政策、全球传导为核心变量，判断周期位置与边际变化。</w:t>
      </w:r>
    </w:p>
    <w:p w14:paraId="7EEF1E28">
      <w:pPr>
        <w:pBdr>
          <w:bottom w:val="single" w:color="auto" w:sz="8" w:space="0"/>
        </w:pBdr>
      </w:pPr>
    </w:p>
    <w:p w14:paraId="297964FB">
      <w:pPr>
        <w:pStyle w:val="6"/>
      </w:pPr>
      <w:r>
        <w:t>1.1 宏观分析的底层公理（五大公理）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87C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A16358">
            <w:pPr>
              <w:jc w:val="left"/>
            </w:pPr>
            <w:r>
              <w:t>底层公理</w:t>
            </w:r>
          </w:p>
        </w:tc>
        <w:tc>
          <w:tcPr>
            <w:tcW w:w="2076" w:type="dxa"/>
            <w:vAlign w:val="center"/>
          </w:tcPr>
          <w:p w14:paraId="7368884A">
            <w:pPr>
              <w:jc w:val="left"/>
            </w:pPr>
            <w:r>
              <w:t>核心本质</w:t>
            </w:r>
          </w:p>
        </w:tc>
        <w:tc>
          <w:tcPr>
            <w:tcW w:w="2076" w:type="dxa"/>
            <w:vAlign w:val="center"/>
          </w:tcPr>
          <w:p w14:paraId="5150331F">
            <w:pPr>
              <w:jc w:val="left"/>
            </w:pPr>
            <w:r>
              <w:t>对我们的约束</w:t>
            </w:r>
          </w:p>
        </w:tc>
        <w:tc>
          <w:tcPr>
            <w:tcW w:w="2076" w:type="dxa"/>
            <w:vAlign w:val="center"/>
          </w:tcPr>
          <w:p w14:paraId="3986FB00">
            <w:pPr>
              <w:jc w:val="left"/>
            </w:pPr>
            <w:r>
              <w:t>对应执行动作</w:t>
            </w:r>
          </w:p>
        </w:tc>
      </w:tr>
      <w:tr w14:paraId="505A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CF59D38">
            <w:pPr>
              <w:jc w:val="left"/>
            </w:pPr>
            <w:r>
              <w:rPr>
                <w:b/>
              </w:rPr>
              <w:t>公理 1：资产定价双因子公理</w:t>
            </w:r>
          </w:p>
        </w:tc>
        <w:tc>
          <w:tcPr>
            <w:tcW w:w="2076" w:type="dxa"/>
            <w:vAlign w:val="center"/>
          </w:tcPr>
          <w:p w14:paraId="5206D6B4">
            <w:pPr>
              <w:jc w:val="left"/>
            </w:pPr>
            <w:r>
              <w:t>权益、债券类核心资产价格 = 未来现金流 / (1 + 折现率)^n；分子 = 企业盈利（由经济增长周期决定），分母 = 无风险利率 + 风险溢价（由流动性 + 市场情绪决定）；黄金、大宗商品等另类资产需匹配专属定价逻辑</w:t>
            </w:r>
          </w:p>
        </w:tc>
        <w:tc>
          <w:tcPr>
            <w:tcW w:w="2076" w:type="dxa"/>
            <w:vAlign w:val="center"/>
          </w:tcPr>
          <w:p w14:paraId="5A48526D">
            <w:pPr>
              <w:jc w:val="left"/>
            </w:pPr>
            <w:r>
              <w:t>我们的框架只分「增长周期」（分子端）和「流动性周期」（分母端），仅跟踪与这两个因子强相关的有效指标，另类资产单独补充对应指标；</w:t>
            </w:r>
            <w:r>
              <w:rPr>
                <w:b/>
              </w:rPr>
              <w:t>AI 科技是增长周期的核心驱动力</w:t>
            </w:r>
            <w:r>
              <w:t>，高技术制造业 PMI 与 AI 资本开支是分子端的关键代理变量</w:t>
            </w:r>
          </w:p>
        </w:tc>
        <w:tc>
          <w:tcPr>
            <w:tcW w:w="2076" w:type="dxa"/>
            <w:vAlign w:val="center"/>
          </w:tcPr>
          <w:p w14:paraId="1F83F131">
            <w:pPr>
              <w:jc w:val="left"/>
            </w:pPr>
            <w:r>
              <w:t>将核心指标划分为「国内基本面轮（分子端）」和「全球流动性轮（分母端）」，其他所有因素最终仅能通过这两个变量影响核心资产价格</w:t>
            </w:r>
          </w:p>
        </w:tc>
      </w:tr>
      <w:tr w14:paraId="691F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21830B">
            <w:pPr>
              <w:jc w:val="left"/>
            </w:pPr>
            <w:r>
              <w:rPr>
                <w:b/>
              </w:rPr>
              <w:t>公理 2：周期运行规律公理</w:t>
            </w:r>
          </w:p>
        </w:tc>
        <w:tc>
          <w:tcPr>
            <w:tcW w:w="2076" w:type="dxa"/>
            <w:vAlign w:val="center"/>
          </w:tcPr>
          <w:p w14:paraId="209665C6">
            <w:pPr>
              <w:jc w:val="left"/>
            </w:pPr>
            <w:r>
              <w:t>经济和流动性的运行不是随机波动，而是由信贷、库存、产能、债务的循环驱动，形成典型的短 / 中 / 长周期规律；受外生冲击（地缘、疫情、超预期政策）周期可能出现阶段跳跃，拐点有明确的领先信号</w:t>
            </w:r>
          </w:p>
        </w:tc>
        <w:tc>
          <w:tcPr>
            <w:tcW w:w="2076" w:type="dxa"/>
            <w:vAlign w:val="center"/>
          </w:tcPr>
          <w:p w14:paraId="2762A7BF">
            <w:pPr>
              <w:jc w:val="left"/>
            </w:pPr>
            <w:r>
              <w:t>我们需要通过分层的量化指标，精准判断当前所处的周期阶段，区分趋势性变动与短期波动</w:t>
            </w:r>
          </w:p>
        </w:tc>
        <w:tc>
          <w:tcPr>
            <w:tcW w:w="2076" w:type="dxa"/>
            <w:vAlign w:val="center"/>
          </w:tcPr>
          <w:p w14:paraId="386581B7">
            <w:pPr>
              <w:jc w:val="left"/>
            </w:pPr>
            <w:r>
              <w:t>执行「长周期→中周期→短周期」的三级定位规则，不用短期波动否定长期趋势，外生冲击下需启动高频指标跟踪校验</w:t>
            </w:r>
          </w:p>
        </w:tc>
      </w:tr>
      <w:tr w14:paraId="1526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EBC9714">
            <w:pPr>
              <w:jc w:val="left"/>
            </w:pPr>
            <w:r>
              <w:rPr>
                <w:b/>
              </w:rPr>
              <w:t>公理 3：全球传导公理</w:t>
            </w:r>
          </w:p>
        </w:tc>
        <w:tc>
          <w:tcPr>
            <w:tcW w:w="2076" w:type="dxa"/>
            <w:vAlign w:val="center"/>
          </w:tcPr>
          <w:p w14:paraId="6EA285ED">
            <w:pPr>
              <w:jc w:val="left"/>
            </w:pPr>
            <w:r>
              <w:t>美元本位体系下，美联储是全球流动性总闸门，其政策决定全球美元流动性总量，进而影响全球风险资产估值中枢、跨境资本流向；常规场景下全球流动性周期优先级高于国内流动性周期，国内强政策对冲场景可调整权重</w:t>
            </w:r>
          </w:p>
        </w:tc>
        <w:tc>
          <w:tcPr>
            <w:tcW w:w="2076" w:type="dxa"/>
            <w:vAlign w:val="center"/>
          </w:tcPr>
          <w:p w14:paraId="18E77A99">
            <w:pPr>
              <w:jc w:val="left"/>
            </w:pPr>
            <w:r>
              <w:t>分析必须遵循「先全球、后国内」的核心路径；全球流动性持续收紧时，国内宽松难以催生全面牛市，仅存在结构性机会</w:t>
            </w:r>
          </w:p>
        </w:tc>
        <w:tc>
          <w:tcPr>
            <w:tcW w:w="2076" w:type="dxa"/>
            <w:vAlign w:val="center"/>
          </w:tcPr>
          <w:p w14:paraId="015B8DAD">
            <w:pPr>
              <w:jc w:val="left"/>
            </w:pPr>
            <w:r>
              <w:t>信号优先级常规执行「全球流动性＞国内货币＞国内增长＞美国基本面＞全球风险」，设置国内强政策对冲的例外调整规则</w:t>
            </w:r>
          </w:p>
        </w:tc>
      </w:tr>
      <w:tr w14:paraId="655D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66A50DA">
            <w:pPr>
              <w:jc w:val="left"/>
            </w:pPr>
            <w:r>
              <w:rPr>
                <w:b/>
              </w:rPr>
              <w:t>公理 4：预期差定价与驱动公理</w:t>
            </w:r>
          </w:p>
        </w:tc>
        <w:tc>
          <w:tcPr>
            <w:tcW w:w="2076" w:type="dxa"/>
            <w:vAlign w:val="center"/>
          </w:tcPr>
          <w:p w14:paraId="47469FAD">
            <w:pPr>
              <w:jc w:val="left"/>
            </w:pPr>
            <w:r>
              <w:t>资产价格已提前反映市场一致预期，只有实际数据 / 政策超出 / 不及市场预期时才会引发重新定价——这是</w:t>
            </w:r>
            <w:r>
              <w:rPr>
                <w:b/>
              </w:rPr>
              <w:t>定价机制</w:t>
            </w:r>
            <w:r>
              <w:t>；而预期差的大小和方向直接决定超额收益的空间，预期差越大定价修正空间越大——这是</w:t>
            </w:r>
            <w:r>
              <w:rPr>
                <w:b/>
              </w:rPr>
              <w:t>Alpha 驱动机制</w:t>
            </w:r>
            <w:r>
              <w:t>。仅凭数据方向交易本质上是在交易共识而非 Alpha</w:t>
            </w:r>
          </w:p>
        </w:tc>
        <w:tc>
          <w:tcPr>
            <w:tcW w:w="2076" w:type="dxa"/>
            <w:vAlign w:val="center"/>
          </w:tcPr>
          <w:p w14:paraId="0B897450">
            <w:pPr>
              <w:jc w:val="left"/>
            </w:pPr>
            <w:r>
              <w:t>我们不仅要看数据绝对值，更要对比数据与市场一致预期的差值；必须同时掌握基本面实际状态和市场已定价状态，二者的差才是可交易的信号</w:t>
            </w:r>
          </w:p>
        </w:tc>
        <w:tc>
          <w:tcPr>
            <w:tcW w:w="2076" w:type="dxa"/>
            <w:vAlign w:val="center"/>
          </w:tcPr>
          <w:p w14:paraId="78DB7465">
            <w:pPr>
              <w:jc w:val="left"/>
            </w:pPr>
            <w:r>
              <w:t>建立 Layer 3（市场定价提取）和 Layer 4（预期差信号引擎），系统化提取三类预期差信号（数据意外、基本面 vs 市场定价、跨国预期差）；用花旗经济意外指数做交叉验证，所有指标口径必须与市场一致预期统计口径对齐</w:t>
            </w:r>
          </w:p>
        </w:tc>
      </w:tr>
      <w:tr w14:paraId="3237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BD60770">
            <w:pPr>
              <w:jc w:val="left"/>
            </w:pPr>
            <w:r>
              <w:rPr>
                <w:b/>
              </w:rPr>
              <w:t>公理 5：双市场联动公理</w:t>
            </w:r>
          </w:p>
        </w:tc>
        <w:tc>
          <w:tcPr>
            <w:tcW w:w="2076" w:type="dxa"/>
            <w:vAlign w:val="center"/>
          </w:tcPr>
          <w:p w14:paraId="461B4259">
            <w:pPr>
              <w:jc w:val="left"/>
            </w:pPr>
            <w:r>
              <w:t>A 股与美股在全球流动性周期上高度同步，但在盈利周期（分子端）上存在结构性分化。中美经济周期错位为跨市场结构性配置提供机会窗口</w:t>
            </w:r>
          </w:p>
        </w:tc>
        <w:tc>
          <w:tcPr>
            <w:tcW w:w="2076" w:type="dxa"/>
            <w:vAlign w:val="center"/>
          </w:tcPr>
          <w:p w14:paraId="06EF88FF">
            <w:pPr>
              <w:jc w:val="left"/>
            </w:pPr>
            <w:r>
              <w:t>不能以单一市场周期结论套用至另一市场；需专门建立「中美周期对比模块」，识别分化与收敛节点</w:t>
            </w:r>
          </w:p>
        </w:tc>
        <w:tc>
          <w:tcPr>
            <w:tcW w:w="2076" w:type="dxa"/>
            <w:vAlign w:val="center"/>
          </w:tcPr>
          <w:p w14:paraId="42875E30">
            <w:pPr>
              <w:jc w:val="left"/>
            </w:pPr>
            <w:r>
              <w:t>当中美周期方向一致时，可输出两市场共振信号；严重分化时，仅输出结构性配置信号，不做单一全面方向判断；美国基本面独立模块纳入 Layer 0 并行追踪</w:t>
            </w:r>
          </w:p>
        </w:tc>
      </w:tr>
    </w:tbl>
    <w:p w14:paraId="327F84BD">
      <w:pPr>
        <w:pBdr>
          <w:bottom w:val="single" w:color="auto" w:sz="8" w:space="0"/>
        </w:pBdr>
      </w:pPr>
    </w:p>
    <w:p w14:paraId="0ECC9879">
      <w:pPr>
        <w:pStyle w:val="6"/>
      </w:pPr>
      <w:r>
        <w:t>1.2 宏观分析的核心逻辑</w:t>
      </w:r>
    </w:p>
    <w:p w14:paraId="7476B072">
      <w:pPr>
        <w:pStyle w:val="4"/>
      </w:pPr>
      <w:r>
        <w:t>基于六大底层公理，搭建「五轮驱动、三级周期、7 层流水线」的标准化分析体系：</w:t>
      </w:r>
    </w:p>
    <w:p w14:paraId="1CF59C3C">
      <w:pPr>
        <w:pStyle w:val="4"/>
        <w:numPr>
          <w:ilvl w:val="0"/>
          <w:numId w:val="1"/>
        </w:numPr>
      </w:pPr>
      <w:r>
        <w:rPr>
          <w:b/>
        </w:rPr>
        <w:t>五轮驱动：</w:t>
      </w:r>
      <w:r>
        <w:t xml:space="preserve"> 以「全球流动性轮（共同分母端）」「美国基本面轮（美股分子端）」「中国基本面轮（A 股分子端）」「全球风险轮（共同风险层）」「AI 科技结构轮（行业配置层，聚焦科技主线）」为五大核心，覆盖 A 股与美股双市场的核心定价变量；</w:t>
      </w:r>
    </w:p>
    <w:p w14:paraId="33AE5448">
      <w:pPr>
        <w:pStyle w:val="4"/>
        <w:numPr>
          <w:ilvl w:val="0"/>
          <w:numId w:val="1"/>
        </w:numPr>
      </w:pPr>
      <w:r>
        <w:rPr>
          <w:b/>
        </w:rPr>
        <w:t>三级周期：</w:t>
      </w:r>
      <w:r>
        <w:t xml:space="preserve"> 以「长周期定方向、中周期定中枢、短周期定节奏」的三级定位体系，精准判断周期所处阶段；</w:t>
      </w:r>
    </w:p>
    <w:p w14:paraId="28257653">
      <w:pPr>
        <w:pStyle w:val="4"/>
        <w:numPr>
          <w:ilvl w:val="0"/>
          <w:numId w:val="1"/>
        </w:numPr>
      </w:pPr>
      <w:r>
        <w:rPr>
          <w:b/>
        </w:rPr>
        <w:t>7 层流水线：</w:t>
      </w:r>
      <w:r>
        <w:t xml:space="preserve"> Layer 0（双经济体追踪）→ Layer 1（状态识别 CAI/FCI）→ Layer 2（周期定位 4 象限+政策调节）→ Layer 2.5（枢纽变量分析）→ Layer 3（市场定价提取）→ Layer 4（预期差信号引擎）→ </w:t>
      </w:r>
      <w:r>
        <w:rPr>
          <w:b/>
        </w:rPr>
        <w:t>Layer 4.5（反身性与元认知层）</w:t>
      </w:r>
      <w:r>
        <w:t xml:space="preserve"> → Layer 5（资产配置 Beta+Alpha）</w:t>
      </w:r>
    </w:p>
    <w:p w14:paraId="0350D461">
      <w:pPr>
        <w:pBdr>
          <w:bottom w:val="single" w:color="auto" w:sz="8" w:space="0"/>
        </w:pBdr>
      </w:pPr>
    </w:p>
    <w:p w14:paraId="72BF37D4">
      <w:pPr>
        <w:pStyle w:val="6"/>
      </w:pPr>
      <w:r>
        <w:t>1.3 我们解决的 3 个核心问题</w:t>
      </w:r>
    </w:p>
    <w:p w14:paraId="50D79D18">
      <w:pPr>
        <w:pStyle w:val="4"/>
        <w:numPr>
          <w:ilvl w:val="0"/>
          <w:numId w:val="2"/>
        </w:numPr>
      </w:pPr>
      <w:r>
        <w:rPr>
          <w:b/>
        </w:rPr>
        <w:t>顶层约束问题：</w:t>
      </w:r>
      <w:r>
        <w:t xml:space="preserve"> 全球核心经济体处在什么周期阶段？全球流动性与风险环境的顶层约束是什么？对 A 股的传导路径与影响力度如何？</w:t>
      </w:r>
    </w:p>
    <w:p w14:paraId="69265131">
      <w:pPr>
        <w:pStyle w:val="4"/>
        <w:numPr>
          <w:ilvl w:val="0"/>
          <w:numId w:val="2"/>
        </w:numPr>
      </w:pPr>
      <w:r>
        <w:rPr>
          <w:b/>
        </w:rPr>
        <w:t>周期定位问题：</w:t>
      </w:r>
      <w:r>
        <w:t xml:space="preserve"> 在全球约束下，国内增长周期（分子端）与流动性周期（分母端）分别处于长 / 中 / 短周期的哪个阶段？未来边际变化的领先信号与预期差是什么？</w:t>
      </w:r>
    </w:p>
    <w:p w14:paraId="73FC2BD5">
      <w:pPr>
        <w:pStyle w:val="4"/>
        <w:numPr>
          <w:ilvl w:val="0"/>
          <w:numId w:val="2"/>
        </w:numPr>
      </w:pPr>
      <w:r>
        <w:rPr>
          <w:b/>
        </w:rPr>
        <w:t>定价决策问题：</w:t>
      </w:r>
      <w:r>
        <w:t xml:space="preserve"> 基于全球 + 国内周期组合，对应 A 股大类资产应输出什么方向、多强强度、多久有效期的择时与配置信号？</w:t>
      </w:r>
      <w:r>
        <w:rPr>
          <w:b/>
        </w:rPr>
        <w:t>AI 科技主线的周期定位与配置权重如何确定？</w:t>
      </w:r>
    </w:p>
    <w:p w14:paraId="4EA0CE1E">
      <w:pPr>
        <w:pBdr>
          <w:bottom w:val="single" w:color="auto" w:sz="8" w:space="0"/>
        </w:pBdr>
      </w:pPr>
    </w:p>
    <w:p w14:paraId="2B97347B">
      <w:pPr>
        <w:pBdr>
          <w:bottom w:val="single" w:color="auto" w:sz="8" w:space="0"/>
        </w:pBdr>
      </w:pPr>
    </w:p>
    <w:p w14:paraId="51CFF908">
      <w:pPr>
        <w:pStyle w:val="10"/>
      </w:pPr>
      <w:r>
        <w:t>二、宏观分析</w:t>
      </w:r>
      <w:bookmarkStart w:id="0" w:name="_GoBack"/>
      <w:r>
        <w:t>小组</w:t>
      </w:r>
      <w:bookmarkEnd w:id="0"/>
      <w:r>
        <w:t>的职责划分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6E5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E7D19A0">
            <w:pPr>
              <w:jc w:val="left"/>
            </w:pPr>
            <w:r>
              <w:t>小组名</w:t>
            </w:r>
          </w:p>
        </w:tc>
        <w:tc>
          <w:tcPr>
            <w:tcW w:w="2076" w:type="dxa"/>
            <w:vAlign w:val="center"/>
          </w:tcPr>
          <w:p w14:paraId="698BB4EE">
            <w:pPr>
              <w:jc w:val="left"/>
            </w:pPr>
            <w:r>
              <w:t>核心权责</w:t>
            </w:r>
          </w:p>
        </w:tc>
        <w:tc>
          <w:tcPr>
            <w:tcW w:w="2076" w:type="dxa"/>
            <w:vAlign w:val="center"/>
          </w:tcPr>
          <w:p w14:paraId="3551B979">
            <w:pPr>
              <w:jc w:val="left"/>
            </w:pPr>
            <w:r>
              <w:t>对应手册模块</w:t>
            </w:r>
          </w:p>
        </w:tc>
        <w:tc>
          <w:tcPr>
            <w:tcW w:w="2076" w:type="dxa"/>
            <w:vAlign w:val="center"/>
          </w:tcPr>
          <w:p w14:paraId="796C9F81">
            <w:pPr>
              <w:jc w:val="left"/>
            </w:pPr>
            <w:r>
              <w:t>固定输出物</w:t>
            </w:r>
          </w:p>
        </w:tc>
      </w:tr>
      <w:tr w14:paraId="40A2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71154AC">
            <w:pPr>
              <w:jc w:val="left"/>
            </w:pPr>
            <w:r>
              <w:rPr>
                <w:b/>
              </w:rPr>
              <w:t>国内增长小组</w:t>
            </w:r>
          </w:p>
        </w:tc>
        <w:tc>
          <w:tcPr>
            <w:tcW w:w="2076" w:type="dxa"/>
            <w:vAlign w:val="center"/>
          </w:tcPr>
          <w:p w14:paraId="1B820ED1">
            <w:pPr>
              <w:jc w:val="left"/>
            </w:pPr>
            <w:r>
              <w:t>负责国内增长模块的指标跟踪、数据更新、维度拆解、规则优化；负责高频领先指标的周度跟踪更新</w:t>
            </w:r>
          </w:p>
        </w:tc>
        <w:tc>
          <w:tcPr>
            <w:tcW w:w="2076" w:type="dxa"/>
            <w:vAlign w:val="center"/>
          </w:tcPr>
          <w:p w14:paraId="7A5583FC">
            <w:pPr>
              <w:jc w:val="left"/>
            </w:pPr>
            <w:r>
              <w:t>国内基本面轮（分子端）、短中周期增长维度</w:t>
            </w:r>
          </w:p>
        </w:tc>
        <w:tc>
          <w:tcPr>
            <w:tcW w:w="2076" w:type="dxa"/>
            <w:vAlign w:val="center"/>
          </w:tcPr>
          <w:p w14:paraId="044AA439">
            <w:pPr>
              <w:jc w:val="left"/>
            </w:pPr>
            <w:r>
              <w:t>月度国内增长维度分析、增长模块标准化数据清单、周度高频指标跟踪表、对应 Skill 需求文档</w:t>
            </w:r>
          </w:p>
        </w:tc>
      </w:tr>
      <w:tr w14:paraId="7204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9ABA2A0">
            <w:pPr>
              <w:jc w:val="left"/>
            </w:pPr>
            <w:r>
              <w:rPr>
                <w:b/>
              </w:rPr>
              <w:t>国内货币通胀小组</w:t>
            </w:r>
          </w:p>
        </w:tc>
        <w:tc>
          <w:tcPr>
            <w:tcW w:w="2076" w:type="dxa"/>
            <w:vAlign w:val="center"/>
          </w:tcPr>
          <w:p w14:paraId="7B3688F5">
            <w:pPr>
              <w:jc w:val="left"/>
            </w:pPr>
            <w:r>
              <w:t>负责国内货币通胀模块的指标跟踪、数据更新、维度拆解、规则优化；负责银行间流动性指标的日度跟踪</w:t>
            </w:r>
          </w:p>
        </w:tc>
        <w:tc>
          <w:tcPr>
            <w:tcW w:w="2076" w:type="dxa"/>
            <w:vAlign w:val="center"/>
          </w:tcPr>
          <w:p w14:paraId="0107BA57">
            <w:pPr>
              <w:jc w:val="left"/>
            </w:pPr>
            <w:r>
              <w:t>国内基本面轮（分母端）、流动性周期判断</w:t>
            </w:r>
          </w:p>
        </w:tc>
        <w:tc>
          <w:tcPr>
            <w:tcW w:w="2076" w:type="dxa"/>
            <w:vAlign w:val="center"/>
          </w:tcPr>
          <w:p w14:paraId="57F80486">
            <w:pPr>
              <w:jc w:val="left"/>
            </w:pPr>
            <w:r>
              <w:t>月度国内流动性维度分析、货币模块标准化数据清单、日度流动性简报、对应 Skill 需求文档</w:t>
            </w:r>
          </w:p>
        </w:tc>
      </w:tr>
      <w:tr w14:paraId="393B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D62C880">
            <w:pPr>
              <w:jc w:val="left"/>
            </w:pPr>
            <w:r>
              <w:rPr>
                <w:b/>
              </w:rPr>
              <w:t>海外宏观 &amp; 汇率小组</w:t>
            </w:r>
          </w:p>
        </w:tc>
        <w:tc>
          <w:tcPr>
            <w:tcW w:w="2076" w:type="dxa"/>
            <w:vAlign w:val="center"/>
          </w:tcPr>
          <w:p w14:paraId="4C3E5213">
            <w:pPr>
              <w:jc w:val="left"/>
            </w:pPr>
            <w:r>
              <w:t>负责海外经济体模块、全球风险模块的指标跟踪、数据更新、维度拆解、传导分析；负责美联储政策、美债等核心指标的日度跟踪</w:t>
            </w:r>
          </w:p>
        </w:tc>
        <w:tc>
          <w:tcPr>
            <w:tcW w:w="2076" w:type="dxa"/>
            <w:vAlign w:val="center"/>
          </w:tcPr>
          <w:p w14:paraId="1167C460">
            <w:pPr>
              <w:jc w:val="left"/>
            </w:pPr>
            <w:r>
              <w:t>全球流动性轮、海外周期对 A 股的传导分析</w:t>
            </w:r>
          </w:p>
        </w:tc>
        <w:tc>
          <w:tcPr>
            <w:tcW w:w="2076" w:type="dxa"/>
            <w:vAlign w:val="center"/>
          </w:tcPr>
          <w:p w14:paraId="287D3D2D">
            <w:pPr>
              <w:jc w:val="left"/>
            </w:pPr>
            <w:r>
              <w:t>月度海外宏观维度分析、海外模块标准化数据清单、周度全球流动性跟踪表、对应 Skill 需求文档</w:t>
            </w:r>
          </w:p>
        </w:tc>
      </w:tr>
      <w:tr w14:paraId="1F5C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A82BD6C">
            <w:pPr>
              <w:jc w:val="left"/>
            </w:pPr>
            <w:r>
              <w:rPr>
                <w:b/>
              </w:rPr>
              <w:t>大周期融合小组</w:t>
            </w:r>
          </w:p>
        </w:tc>
        <w:tc>
          <w:tcPr>
            <w:tcW w:w="2076" w:type="dxa"/>
            <w:vAlign w:val="center"/>
          </w:tcPr>
          <w:p w14:paraId="115936FA">
            <w:pPr>
              <w:jc w:val="left"/>
            </w:pPr>
            <w:r>
              <w:t>负责信号有效性评级、三级周期定位、交叉验证、报告收口、复盘迭代；负责指标体系规则的季度优化、阈值校准</w:t>
            </w:r>
          </w:p>
        </w:tc>
        <w:tc>
          <w:tcPr>
            <w:tcW w:w="2076" w:type="dxa"/>
            <w:vAlign w:val="center"/>
          </w:tcPr>
          <w:p w14:paraId="54457226">
            <w:pPr>
              <w:jc w:val="left"/>
            </w:pPr>
            <w:r>
              <w:t>周期定位模块、信号输出模块、全流程校验、指标体系迭代</w:t>
            </w:r>
          </w:p>
        </w:tc>
        <w:tc>
          <w:tcPr>
            <w:tcW w:w="2076" w:type="dxa"/>
            <w:vAlign w:val="center"/>
          </w:tcPr>
          <w:p w14:paraId="14C17D04">
            <w:pPr>
              <w:jc w:val="left"/>
            </w:pPr>
            <w:r>
              <w:t>月度宏观分析、周期定位结论、信号有效性评级、月度复盘、季度指标体系优化方案</w:t>
            </w:r>
          </w:p>
        </w:tc>
      </w:tr>
      <w:tr w14:paraId="5583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2AD641">
            <w:pPr>
              <w:jc w:val="left"/>
            </w:pPr>
            <w:r>
              <w:rPr>
                <w:b/>
              </w:rPr>
              <w:t>Skill 输出小组</w:t>
            </w:r>
          </w:p>
        </w:tc>
        <w:tc>
          <w:tcPr>
            <w:tcW w:w="2076" w:type="dxa"/>
            <w:vAlign w:val="center"/>
          </w:tcPr>
          <w:p w14:paraId="5A4307D8">
            <w:pPr>
              <w:jc w:val="left"/>
            </w:pPr>
            <w:r>
              <w:t>负责把手册规则转化为可运行的 Skill、宏观 Agent 整合、全指标体系的代码落地、历史回测优化、合规校验；负责框架版本管理与发布；M1-M8 模块化交付</w:t>
            </w:r>
          </w:p>
        </w:tc>
        <w:tc>
          <w:tcPr>
            <w:tcW w:w="2076" w:type="dxa"/>
            <w:vAlign w:val="center"/>
          </w:tcPr>
          <w:p w14:paraId="5E1B1560">
            <w:pPr>
              <w:jc w:val="left"/>
            </w:pPr>
            <w:r>
              <w:t>全体系规则的代码落地、AI 开发、指标回测、版本管理</w:t>
            </w:r>
          </w:p>
        </w:tc>
        <w:tc>
          <w:tcPr>
            <w:tcW w:w="2076" w:type="dxa"/>
            <w:vAlign w:val="center"/>
          </w:tcPr>
          <w:p w14:paraId="2048E26C">
            <w:pPr>
              <w:jc w:val="left"/>
            </w:pPr>
            <w:r>
              <w:t>全量 Skill 合集、宏观 AI Agent、指标回测报告、半年度全历史回测、项目开源文档、框架版本变更说明与回测验证报告</w:t>
            </w:r>
          </w:p>
        </w:tc>
      </w:tr>
    </w:tbl>
    <w:p w14:paraId="5A2175D7">
      <w:pPr>
        <w:pBdr>
          <w:bottom w:val="single" w:color="auto" w:sz="8" w:space="0"/>
        </w:pBdr>
      </w:pPr>
    </w:p>
    <w:p w14:paraId="7313B036">
      <w:pPr>
        <w:pBdr>
          <w:bottom w:val="single" w:color="auto" w:sz="8" w:space="0"/>
        </w:pBdr>
      </w:pPr>
    </w:p>
    <w:p w14:paraId="64B8B77D">
      <w:pPr>
        <w:pStyle w:val="10"/>
      </w:pPr>
      <w:r>
        <w:t>三、宏观分析的核心指标体系</w:t>
      </w:r>
    </w:p>
    <w:p w14:paraId="7F00830B">
      <w:pPr>
        <w:pStyle w:val="6"/>
      </w:pPr>
      <w:r>
        <w:t>3.1 指标选取核心原则</w:t>
      </w:r>
    </w:p>
    <w:p w14:paraId="2DCA058E">
      <w:pPr>
        <w:pStyle w:val="4"/>
        <w:numPr>
          <w:ilvl w:val="0"/>
          <w:numId w:val="3"/>
        </w:numPr>
      </w:pPr>
      <w:r>
        <w:rPr>
          <w:b/>
        </w:rPr>
        <w:t>领先性优先原则：</w:t>
      </w:r>
      <w:r>
        <w:t xml:space="preserve"> 优先选取领先于经济周期、领先于资产价格的指标，滞后指标仅可用于交叉验证，不得单独用于拐点预判与实时决策；</w:t>
      </w:r>
    </w:p>
    <w:p w14:paraId="73E05C9A">
      <w:pPr>
        <w:pStyle w:val="4"/>
        <w:numPr>
          <w:ilvl w:val="0"/>
          <w:numId w:val="3"/>
        </w:numPr>
      </w:pPr>
      <w:r>
        <w:rPr>
          <w:b/>
        </w:rPr>
        <w:t>可量化原则：</w:t>
      </w:r>
      <w:r>
        <w:t xml:space="preserve"> 指标需有明确的数值、可标准化统计，禁止使用无量化标准的定性描述类指标；</w:t>
      </w:r>
    </w:p>
    <w:p w14:paraId="0EE93BBA">
      <w:pPr>
        <w:pStyle w:val="4"/>
        <w:numPr>
          <w:ilvl w:val="0"/>
          <w:numId w:val="3"/>
        </w:numPr>
      </w:pPr>
      <w:r>
        <w:rPr>
          <w:b/>
        </w:rPr>
        <w:t>口径统一原则：</w:t>
      </w:r>
      <w:r>
        <w:t xml:space="preserve"> 所有指标均固定统计口径、频率、来源，不随意切换季调 / 非季调、同比 / 环比口径，且必须与市场一致预期的统计口径对齐；</w:t>
      </w:r>
    </w:p>
    <w:p w14:paraId="6C5380D0">
      <w:pPr>
        <w:pStyle w:val="4"/>
        <w:numPr>
          <w:ilvl w:val="0"/>
          <w:numId w:val="3"/>
        </w:numPr>
      </w:pPr>
      <w:r>
        <w:rPr>
          <w:b/>
        </w:rPr>
        <w:t>强相关性原则：</w:t>
      </w:r>
      <w:r>
        <w:t xml:space="preserve"> 指标需与宏观周期、A 股大类资产价格高度相关，剔除无关、弱相关指标，避免冗余，同一信号仅保留 1 个核心指标 + 1 个备用指标；</w:t>
      </w:r>
      <w:r>
        <w:rPr>
          <w:b/>
        </w:rPr>
        <w:t>AI 科技主线优先</w:t>
      </w:r>
      <w:r>
        <w:t>——在同等信号质量下，优先保留与科技产业链、高技术制造业、AI 资本开支强相关的指标；</w:t>
      </w:r>
    </w:p>
    <w:p w14:paraId="00B82742">
      <w:pPr>
        <w:pStyle w:val="4"/>
        <w:numPr>
          <w:ilvl w:val="0"/>
          <w:numId w:val="3"/>
        </w:numPr>
      </w:pPr>
      <w:r>
        <w:rPr>
          <w:b/>
        </w:rPr>
        <w:t>可获取原则：</w:t>
      </w:r>
      <w:r>
        <w:t xml:space="preserve"> 指标数据需公开可获取、及时更新，确保日常分析可落地，避免使用难以获取的小众指标；</w:t>
      </w:r>
    </w:p>
    <w:p w14:paraId="3E3ED15B">
      <w:pPr>
        <w:pStyle w:val="4"/>
        <w:numPr>
          <w:ilvl w:val="0"/>
          <w:numId w:val="3"/>
        </w:numPr>
      </w:pPr>
      <w:r>
        <w:rPr>
          <w:b/>
        </w:rPr>
        <w:t>频率分层原则：</w:t>
      </w:r>
      <w:r>
        <w:t xml:space="preserve"> 按日 / 周 / 月 / 季频分层设置指标，高频指标跟踪边际变化，低频指标确认周期趋势，解决滞后性问题；</w:t>
      </w:r>
    </w:p>
    <w:p w14:paraId="45CF3F6E">
      <w:pPr>
        <w:pStyle w:val="4"/>
        <w:numPr>
          <w:ilvl w:val="0"/>
          <w:numId w:val="3"/>
        </w:numPr>
      </w:pPr>
      <w:r>
        <w:rPr>
          <w:b/>
        </w:rPr>
        <w:t>AI 可执行原则：</w:t>
      </w:r>
      <w:r>
        <w:t xml:space="preserve"> 所有指标规则可代码化、无模糊空间，支持 Skill 自动抓取、清洗、计算；</w:t>
      </w:r>
    </w:p>
    <w:p w14:paraId="5141FB75">
      <w:pPr>
        <w:pStyle w:val="4"/>
        <w:numPr>
          <w:ilvl w:val="0"/>
          <w:numId w:val="3"/>
        </w:numPr>
      </w:pPr>
      <w:r>
        <w:rPr>
          <w:b/>
        </w:rPr>
        <w:t>合规性原则：</w:t>
      </w:r>
      <w:r>
        <w:t xml:space="preserve"> 所有数据来源均为官方合规渠道，无违规数据获取。</w:t>
      </w:r>
    </w:p>
    <w:p w14:paraId="25C6D10B">
      <w:pPr>
        <w:pBdr>
          <w:bottom w:val="single" w:color="auto" w:sz="8" w:space="0"/>
        </w:pBdr>
      </w:pPr>
    </w:p>
    <w:p w14:paraId="0347294E">
      <w:pPr>
        <w:pStyle w:val="6"/>
      </w:pPr>
      <w:r>
        <w:t>3.2 标准化指标清单</w:t>
      </w:r>
    </w:p>
    <w:p w14:paraId="72B2E4C1">
      <w:pPr>
        <w:pStyle w:val="7"/>
      </w:pPr>
      <w:r>
        <w:t>3.2.0 另类资产核心指标（黄金定价模块）</w:t>
      </w:r>
    </w:p>
    <w:p w14:paraId="2C339E93">
      <w:pPr>
        <w:pStyle w:val="12"/>
      </w:pPr>
      <w:r>
        <w:t>本框架聚焦 AI 科技主线，相关指标已移除，仅保留黄金作为滞胀/危机对冲资产。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6DF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277A235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620EBBBC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1186081C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54872C22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74376571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776F988D">
            <w:pPr>
              <w:jc w:val="left"/>
            </w:pPr>
            <w:r>
              <w:t>数据来源</w:t>
            </w:r>
          </w:p>
        </w:tc>
      </w:tr>
      <w:tr w14:paraId="663B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F9534E6">
            <w:pPr>
              <w:jc w:val="left"/>
            </w:pPr>
            <w:r>
              <w:rPr>
                <w:b/>
              </w:rPr>
              <w:t>COMEX 黄金期货价格</w:t>
            </w:r>
          </w:p>
        </w:tc>
        <w:tc>
          <w:tcPr>
            <w:tcW w:w="1384" w:type="dxa"/>
            <w:vAlign w:val="center"/>
          </w:tcPr>
          <w:p w14:paraId="3ED4C863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6779FCEF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01E7D996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88F7040">
            <w:pPr>
              <w:jc w:val="left"/>
            </w:pPr>
            <w:r>
              <w:t>反映实际利率预期、避险需求，黄金定价的专属核心指标</w:t>
            </w:r>
          </w:p>
        </w:tc>
        <w:tc>
          <w:tcPr>
            <w:tcW w:w="1384" w:type="dxa"/>
            <w:vAlign w:val="center"/>
          </w:tcPr>
          <w:p w14:paraId="307331FB">
            <w:pPr>
              <w:jc w:val="left"/>
            </w:pPr>
            <w:r>
              <w:t>COMEX、Wind</w:t>
            </w:r>
          </w:p>
        </w:tc>
      </w:tr>
    </w:tbl>
    <w:p w14:paraId="6A06A79F">
      <w:pPr>
        <w:pBdr>
          <w:bottom w:val="single" w:color="auto" w:sz="8" w:space="0"/>
        </w:pBdr>
      </w:pPr>
    </w:p>
    <w:p w14:paraId="1E57575F">
      <w:pPr>
        <w:pStyle w:val="7"/>
      </w:pPr>
      <w:r>
        <w:t>3.2.1 全球顶层约束指标（对应全球流动性、全球风险模块，优先级最高）</w:t>
      </w:r>
    </w:p>
    <w:p w14:paraId="48382B5A">
      <w:pPr>
        <w:pStyle w:val="12"/>
      </w:pPr>
      <w:r>
        <w:t>注：所有 PMI 类指标统一采用季调后官方口径，与市场一致预期完全对齐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414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8C8E793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79A0F4C7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745C8BD8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079CF7DA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1038EFD5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6571638F">
            <w:pPr>
              <w:jc w:val="left"/>
            </w:pPr>
            <w:r>
              <w:t>数据来源</w:t>
            </w:r>
          </w:p>
        </w:tc>
      </w:tr>
      <w:tr w14:paraId="0C92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3939166">
            <w:pPr>
              <w:jc w:val="left"/>
            </w:pPr>
            <w:r>
              <w:rPr>
                <w:b/>
              </w:rPr>
              <w:t>美联储政策利率</w:t>
            </w:r>
          </w:p>
        </w:tc>
        <w:tc>
          <w:tcPr>
            <w:tcW w:w="1384" w:type="dxa"/>
            <w:vAlign w:val="center"/>
          </w:tcPr>
          <w:p w14:paraId="07D463BE">
            <w:pPr>
              <w:jc w:val="left"/>
            </w:pPr>
            <w:r>
              <w:t>目标利率区间，取区间中值</w:t>
            </w:r>
          </w:p>
        </w:tc>
        <w:tc>
          <w:tcPr>
            <w:tcW w:w="1384" w:type="dxa"/>
            <w:vAlign w:val="center"/>
          </w:tcPr>
          <w:p w14:paraId="5B54909B">
            <w:pPr>
              <w:jc w:val="left"/>
            </w:pPr>
            <w:r>
              <w:t>议息会议后更新（每月 1-2 次）</w:t>
            </w:r>
          </w:p>
        </w:tc>
        <w:tc>
          <w:tcPr>
            <w:tcW w:w="1384" w:type="dxa"/>
            <w:vAlign w:val="center"/>
          </w:tcPr>
          <w:p w14:paraId="44DA06C2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143C3F16">
            <w:pPr>
              <w:jc w:val="left"/>
            </w:pPr>
            <w:r>
              <w:t>判断全球流动性松紧，核心顶层约束</w:t>
            </w:r>
          </w:p>
        </w:tc>
        <w:tc>
          <w:tcPr>
            <w:tcW w:w="1384" w:type="dxa"/>
            <w:vAlign w:val="center"/>
          </w:tcPr>
          <w:p w14:paraId="229D10D6">
            <w:pPr>
              <w:jc w:val="left"/>
            </w:pPr>
            <w:r>
              <w:t>美联储官网</w:t>
            </w:r>
          </w:p>
        </w:tc>
      </w:tr>
      <w:tr w14:paraId="70FB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0F4B2C5">
            <w:pPr>
              <w:jc w:val="left"/>
            </w:pPr>
            <w:r>
              <w:rPr>
                <w:b/>
              </w:rPr>
              <w:t>美联储总资产</w:t>
            </w:r>
          </w:p>
        </w:tc>
        <w:tc>
          <w:tcPr>
            <w:tcW w:w="1384" w:type="dxa"/>
            <w:vAlign w:val="center"/>
          </w:tcPr>
          <w:p w14:paraId="1F14ED24">
            <w:pPr>
              <w:jc w:val="left"/>
            </w:pPr>
            <w:r>
              <w:t>周度环比变动、月度滚动平均</w:t>
            </w:r>
          </w:p>
        </w:tc>
        <w:tc>
          <w:tcPr>
            <w:tcW w:w="1384" w:type="dxa"/>
            <w:vAlign w:val="center"/>
          </w:tcPr>
          <w:p w14:paraId="3185E8E4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5DBA9FC0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4B39987">
            <w:pPr>
              <w:jc w:val="left"/>
            </w:pPr>
            <w:r>
              <w:t>判断美联储扩表 / 缩表力度，全球流动性边际变化</w:t>
            </w:r>
          </w:p>
        </w:tc>
        <w:tc>
          <w:tcPr>
            <w:tcW w:w="1384" w:type="dxa"/>
            <w:vAlign w:val="center"/>
          </w:tcPr>
          <w:p w14:paraId="14BC617A">
            <w:pPr>
              <w:jc w:val="left"/>
            </w:pPr>
            <w:r>
              <w:t>美联储官网</w:t>
            </w:r>
          </w:p>
        </w:tc>
      </w:tr>
      <w:tr w14:paraId="4AE9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3C04B9E3">
            <w:pPr>
              <w:jc w:val="left"/>
            </w:pPr>
            <w:r>
              <w:rPr>
                <w:b/>
              </w:rPr>
              <w:t>10 年期美债收益率</w:t>
            </w:r>
          </w:p>
        </w:tc>
        <w:tc>
          <w:tcPr>
            <w:tcW w:w="1384" w:type="dxa"/>
            <w:vAlign w:val="center"/>
          </w:tcPr>
          <w:p w14:paraId="387FBA20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2E60315F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37D08BEE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67546E8A">
            <w:pPr>
              <w:jc w:val="left"/>
            </w:pPr>
            <w:r>
              <w:t>反映全球无风险利率，决定全球资产估值中枢</w:t>
            </w:r>
          </w:p>
        </w:tc>
        <w:tc>
          <w:tcPr>
            <w:tcW w:w="1384" w:type="dxa"/>
            <w:vAlign w:val="center"/>
          </w:tcPr>
          <w:p w14:paraId="4C94ECB9">
            <w:pPr>
              <w:jc w:val="left"/>
            </w:pPr>
            <w:r>
              <w:t>美国财政部官网、Wind</w:t>
            </w:r>
          </w:p>
        </w:tc>
      </w:tr>
      <w:tr w14:paraId="04FE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2594833">
            <w:pPr>
              <w:jc w:val="left"/>
            </w:pPr>
            <w:r>
              <w:rPr>
                <w:b/>
              </w:rPr>
              <w:t>美元指数</w:t>
            </w:r>
          </w:p>
        </w:tc>
        <w:tc>
          <w:tcPr>
            <w:tcW w:w="1384" w:type="dxa"/>
            <w:vAlign w:val="center"/>
          </w:tcPr>
          <w:p w14:paraId="564C50DC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72C799C8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28779315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4C5604E0">
            <w:pPr>
              <w:jc w:val="left"/>
            </w:pPr>
            <w:r>
              <w:t>反映美元强弱，决定全球跨境资本流向</w:t>
            </w:r>
          </w:p>
        </w:tc>
        <w:tc>
          <w:tcPr>
            <w:tcW w:w="1384" w:type="dxa"/>
            <w:vAlign w:val="center"/>
          </w:tcPr>
          <w:p w14:paraId="23BB9513">
            <w:pPr>
              <w:jc w:val="left"/>
            </w:pPr>
            <w:r>
              <w:t>美联储官网、ICE</w:t>
            </w:r>
          </w:p>
        </w:tc>
      </w:tr>
      <w:tr w14:paraId="41E4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BDB141F">
            <w:pPr>
              <w:jc w:val="left"/>
            </w:pPr>
            <w:r>
              <w:rPr>
                <w:b/>
              </w:rPr>
              <w:t>美国 ISM 制造业 PMI（季调后）</w:t>
            </w:r>
          </w:p>
        </w:tc>
        <w:tc>
          <w:tcPr>
            <w:tcW w:w="1384" w:type="dxa"/>
            <w:vAlign w:val="center"/>
          </w:tcPr>
          <w:p w14:paraId="503C0058">
            <w:pPr>
              <w:jc w:val="left"/>
            </w:pPr>
            <w:r>
              <w:t>官方季调后月度数据，重点关注新订单分项</w:t>
            </w:r>
          </w:p>
        </w:tc>
        <w:tc>
          <w:tcPr>
            <w:tcW w:w="1384" w:type="dxa"/>
            <w:vAlign w:val="center"/>
          </w:tcPr>
          <w:p w14:paraId="18585AD3">
            <w:pPr>
              <w:jc w:val="left"/>
            </w:pPr>
            <w:r>
              <w:t>月度初值 + 终值更新</w:t>
            </w:r>
          </w:p>
        </w:tc>
        <w:tc>
          <w:tcPr>
            <w:tcW w:w="1384" w:type="dxa"/>
            <w:vAlign w:val="center"/>
          </w:tcPr>
          <w:p w14:paraId="0C30EAE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C294627">
            <w:pPr>
              <w:jc w:val="left"/>
            </w:pPr>
            <w:r>
              <w:t>判断美国经济景气度、全球增长周期</w:t>
            </w:r>
          </w:p>
        </w:tc>
        <w:tc>
          <w:tcPr>
            <w:tcW w:w="1384" w:type="dxa"/>
            <w:vAlign w:val="center"/>
          </w:tcPr>
          <w:p w14:paraId="65D46570">
            <w:pPr>
              <w:jc w:val="left"/>
            </w:pPr>
            <w:r>
              <w:t>美国供应管理协会（ISM）</w:t>
            </w:r>
          </w:p>
        </w:tc>
      </w:tr>
      <w:tr w14:paraId="658A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039D79D">
            <w:pPr>
              <w:jc w:val="left"/>
            </w:pPr>
            <w:r>
              <w:rPr>
                <w:b/>
              </w:rPr>
              <w:t>美国 ISM 服务业 PMI（季调后）</w:t>
            </w:r>
          </w:p>
        </w:tc>
        <w:tc>
          <w:tcPr>
            <w:tcW w:w="1384" w:type="dxa"/>
            <w:vAlign w:val="center"/>
          </w:tcPr>
          <w:p w14:paraId="62FA615A">
            <w:pPr>
              <w:jc w:val="left"/>
            </w:pPr>
            <w:r>
              <w:t>官方季调后月度数据，重点关注商务活动+新订单分项</w:t>
            </w:r>
          </w:p>
        </w:tc>
        <w:tc>
          <w:tcPr>
            <w:tcW w:w="1384" w:type="dxa"/>
            <w:vAlign w:val="center"/>
          </w:tcPr>
          <w:p w14:paraId="248EFF42">
            <w:pPr>
              <w:jc w:val="left"/>
            </w:pPr>
            <w:r>
              <w:t>月度初值 + 终值更新</w:t>
            </w:r>
          </w:p>
        </w:tc>
        <w:tc>
          <w:tcPr>
            <w:tcW w:w="1384" w:type="dxa"/>
            <w:vAlign w:val="center"/>
          </w:tcPr>
          <w:p w14:paraId="04B3938A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06CED3AC">
            <w:pPr>
              <w:jc w:val="left"/>
            </w:pPr>
            <w:r>
              <w:t>美国服务业占 GDP 约 70-80%，是消费与就业的核心映射；与非农就业强相关，比制造业 PMI 更能反映美国经济整体状态</w:t>
            </w:r>
          </w:p>
        </w:tc>
        <w:tc>
          <w:tcPr>
            <w:tcW w:w="1384" w:type="dxa"/>
            <w:vAlign w:val="center"/>
          </w:tcPr>
          <w:p w14:paraId="23FA7FAE">
            <w:pPr>
              <w:jc w:val="left"/>
            </w:pPr>
            <w:r>
              <w:t>美国供应管理协会（ISM）</w:t>
            </w:r>
          </w:p>
        </w:tc>
      </w:tr>
      <w:tr w14:paraId="05EF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7F6CAEF3">
            <w:pPr>
              <w:jc w:val="left"/>
            </w:pPr>
            <w:r>
              <w:rPr>
                <w:b/>
              </w:rPr>
              <w:t>美国非农就业人口同比</w:t>
            </w:r>
          </w:p>
        </w:tc>
        <w:tc>
          <w:tcPr>
            <w:tcW w:w="1384" w:type="dxa"/>
            <w:vAlign w:val="center"/>
          </w:tcPr>
          <w:p w14:paraId="0C46F0B8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2E89D02A">
            <w:pPr>
              <w:jc w:val="left"/>
            </w:pPr>
            <w:r>
              <w:t>月度更新（每月第一个周五）</w:t>
            </w:r>
          </w:p>
        </w:tc>
        <w:tc>
          <w:tcPr>
            <w:tcW w:w="1384" w:type="dxa"/>
            <w:vAlign w:val="center"/>
          </w:tcPr>
          <w:p w14:paraId="116D91B8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6CDBE6E9">
            <w:pPr>
              <w:jc w:val="left"/>
            </w:pPr>
            <w:r>
              <w:t>美联储货币政策的核心决策依据，补充 ISM PMI 的就业市场视角</w:t>
            </w:r>
          </w:p>
        </w:tc>
        <w:tc>
          <w:tcPr>
            <w:tcW w:w="1384" w:type="dxa"/>
            <w:vAlign w:val="center"/>
          </w:tcPr>
          <w:p w14:paraId="1FC7296A">
            <w:pPr>
              <w:jc w:val="left"/>
            </w:pPr>
            <w:r>
              <w:t>美国劳工统计局（BLS）</w:t>
            </w:r>
          </w:p>
        </w:tc>
      </w:tr>
      <w:tr w14:paraId="2138E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D6207AB">
            <w:pPr>
              <w:jc w:val="left"/>
            </w:pPr>
            <w:r>
              <w:rPr>
                <w:b/>
              </w:rPr>
              <w:t>美国失业率（季调后）</w:t>
            </w:r>
          </w:p>
        </w:tc>
        <w:tc>
          <w:tcPr>
            <w:tcW w:w="1384" w:type="dxa"/>
            <w:vAlign w:val="center"/>
          </w:tcPr>
          <w:p w14:paraId="47F1CF30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3E2078FE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0F480D74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44295D73">
            <w:pPr>
              <w:jc w:val="left"/>
            </w:pPr>
            <w:r>
              <w:t>验证劳动力市场松紧，交叉验证非农数据</w:t>
            </w:r>
          </w:p>
        </w:tc>
        <w:tc>
          <w:tcPr>
            <w:tcW w:w="1384" w:type="dxa"/>
            <w:vAlign w:val="center"/>
          </w:tcPr>
          <w:p w14:paraId="74E1CB7B">
            <w:pPr>
              <w:jc w:val="left"/>
            </w:pPr>
            <w:r>
              <w:t>美国劳工统计局（BLS）</w:t>
            </w:r>
          </w:p>
        </w:tc>
      </w:tr>
      <w:tr w14:paraId="289A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CD752AF">
            <w:pPr>
              <w:jc w:val="left"/>
            </w:pPr>
            <w:r>
              <w:rPr>
                <w:b/>
              </w:rPr>
              <w:t>欧元区制造业 PMI（季调后）</w:t>
            </w:r>
          </w:p>
        </w:tc>
        <w:tc>
          <w:tcPr>
            <w:tcW w:w="1384" w:type="dxa"/>
            <w:vAlign w:val="center"/>
          </w:tcPr>
          <w:p w14:paraId="64FFA533">
            <w:pPr>
              <w:jc w:val="left"/>
            </w:pPr>
            <w:r>
              <w:t>官方季调后月度数据</w:t>
            </w:r>
          </w:p>
        </w:tc>
        <w:tc>
          <w:tcPr>
            <w:tcW w:w="1384" w:type="dxa"/>
            <w:vAlign w:val="center"/>
          </w:tcPr>
          <w:p w14:paraId="6A85FC3E">
            <w:pPr>
              <w:jc w:val="left"/>
            </w:pPr>
            <w:r>
              <w:t>月度初值 + 终值更新</w:t>
            </w:r>
          </w:p>
        </w:tc>
        <w:tc>
          <w:tcPr>
            <w:tcW w:w="1384" w:type="dxa"/>
            <w:vAlign w:val="center"/>
          </w:tcPr>
          <w:p w14:paraId="0287619C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5729116">
            <w:pPr>
              <w:jc w:val="left"/>
            </w:pPr>
            <w:r>
              <w:t>判断欧元区经济景气度、全球增长周期</w:t>
            </w:r>
          </w:p>
        </w:tc>
        <w:tc>
          <w:tcPr>
            <w:tcW w:w="1384" w:type="dxa"/>
            <w:vAlign w:val="center"/>
          </w:tcPr>
          <w:p w14:paraId="523FE543">
            <w:pPr>
              <w:jc w:val="left"/>
            </w:pPr>
            <w:r>
              <w:t>S&amp;P Global、欧元区统计局</w:t>
            </w:r>
          </w:p>
        </w:tc>
      </w:tr>
      <w:tr w14:paraId="1C2E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511768A">
            <w:pPr>
              <w:jc w:val="left"/>
            </w:pPr>
            <w:r>
              <w:rPr>
                <w:b/>
              </w:rPr>
              <w:t>美国核心 PCE 物价指数</w:t>
            </w:r>
          </w:p>
        </w:tc>
        <w:tc>
          <w:tcPr>
            <w:tcW w:w="1384" w:type="dxa"/>
            <w:vAlign w:val="center"/>
          </w:tcPr>
          <w:p w14:paraId="76FB9BF0">
            <w:pPr>
              <w:jc w:val="left"/>
            </w:pPr>
            <w:r>
              <w:t>同比、季调后月度数据</w:t>
            </w:r>
          </w:p>
        </w:tc>
        <w:tc>
          <w:tcPr>
            <w:tcW w:w="1384" w:type="dxa"/>
            <w:vAlign w:val="center"/>
          </w:tcPr>
          <w:p w14:paraId="7D4835B8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1BF56480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81EECA5">
            <w:pPr>
              <w:jc w:val="left"/>
            </w:pPr>
            <w:r>
              <w:t>美联储货币政策核心锚，预判加息 / 降息周期</w:t>
            </w:r>
          </w:p>
        </w:tc>
        <w:tc>
          <w:tcPr>
            <w:tcW w:w="1384" w:type="dxa"/>
            <w:vAlign w:val="center"/>
          </w:tcPr>
          <w:p w14:paraId="18461D68">
            <w:pPr>
              <w:jc w:val="left"/>
            </w:pPr>
            <w:r>
              <w:t>美国商务部经济分析局</w:t>
            </w:r>
          </w:p>
        </w:tc>
      </w:tr>
      <w:tr w14:paraId="545C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2D79EC2B">
            <w:pPr>
              <w:jc w:val="left"/>
            </w:pPr>
            <w:r>
              <w:rPr>
                <w:b/>
              </w:rPr>
              <w:t>VIX 恐慌指数</w:t>
            </w:r>
          </w:p>
        </w:tc>
        <w:tc>
          <w:tcPr>
            <w:tcW w:w="1384" w:type="dxa"/>
            <w:vAlign w:val="center"/>
          </w:tcPr>
          <w:p w14:paraId="22A033C6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3169A6B5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25B2C22A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3DB7F5CD">
            <w:pPr>
              <w:jc w:val="left"/>
            </w:pPr>
            <w:r>
              <w:t>判断全球市场风险偏好、恐慌程度</w:t>
            </w:r>
          </w:p>
        </w:tc>
        <w:tc>
          <w:tcPr>
            <w:tcW w:w="1384" w:type="dxa"/>
            <w:vAlign w:val="center"/>
          </w:tcPr>
          <w:p w14:paraId="12404E4C">
            <w:pPr>
              <w:jc w:val="left"/>
            </w:pPr>
            <w:r>
              <w:t>CBOE 官网</w:t>
            </w:r>
          </w:p>
        </w:tc>
      </w:tr>
      <w:tr w14:paraId="4203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F6B49B7">
            <w:pPr>
              <w:jc w:val="left"/>
            </w:pPr>
            <w:r>
              <w:rPr>
                <w:b/>
              </w:rPr>
              <w:t>花旗美国经济意外指数</w:t>
            </w:r>
          </w:p>
        </w:tc>
        <w:tc>
          <w:tcPr>
            <w:tcW w:w="1384" w:type="dxa"/>
            <w:vAlign w:val="center"/>
          </w:tcPr>
          <w:p w14:paraId="0AA97497">
            <w:pPr>
              <w:jc w:val="left"/>
            </w:pPr>
            <w:r>
              <w:t>周度数据、月度汇总</w:t>
            </w:r>
          </w:p>
        </w:tc>
        <w:tc>
          <w:tcPr>
            <w:tcW w:w="1384" w:type="dxa"/>
            <w:vAlign w:val="center"/>
          </w:tcPr>
          <w:p w14:paraId="35F78796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57DB757F">
            <w:pPr>
              <w:jc w:val="left"/>
            </w:pPr>
            <w:r>
              <w:t>验证指标</w:t>
            </w:r>
          </w:p>
        </w:tc>
        <w:tc>
          <w:tcPr>
            <w:tcW w:w="1384" w:type="dxa"/>
            <w:vAlign w:val="center"/>
          </w:tcPr>
          <w:p w14:paraId="56F9B338">
            <w:pPr>
              <w:jc w:val="left"/>
            </w:pPr>
            <w:r>
              <w:t>判断美国数据与市场预期的差值，验证预期差定价空间</w:t>
            </w:r>
          </w:p>
        </w:tc>
        <w:tc>
          <w:tcPr>
            <w:tcW w:w="1384" w:type="dxa"/>
            <w:vAlign w:val="center"/>
          </w:tcPr>
          <w:p w14:paraId="1F29BDEE">
            <w:pPr>
              <w:jc w:val="left"/>
            </w:pPr>
            <w:r>
              <w:t>花旗银行、Wind</w:t>
            </w:r>
          </w:p>
        </w:tc>
      </w:tr>
      <w:tr w14:paraId="3BB2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AF699A0">
            <w:pPr>
              <w:jc w:val="left"/>
            </w:pPr>
            <w:r>
              <w:rPr>
                <w:b/>
              </w:rPr>
              <w:t>Sahm Rule 衰退预警指标</w:t>
            </w:r>
          </w:p>
        </w:tc>
        <w:tc>
          <w:tcPr>
            <w:tcW w:w="1384" w:type="dxa"/>
            <w:vAlign w:val="center"/>
          </w:tcPr>
          <w:p w14:paraId="3D376DB2">
            <w:pPr>
              <w:jc w:val="left"/>
            </w:pPr>
            <w:r>
              <w:t>当月失业率 3 个月均值 - 过去 12 个月失业率最低 3 个月均值</w:t>
            </w:r>
          </w:p>
        </w:tc>
        <w:tc>
          <w:tcPr>
            <w:tcW w:w="1384" w:type="dxa"/>
            <w:vAlign w:val="center"/>
          </w:tcPr>
          <w:p w14:paraId="5041E704">
            <w:pPr>
              <w:jc w:val="left"/>
            </w:pPr>
            <w:r>
              <w:t>月度更新（随失业率同步）</w:t>
            </w:r>
          </w:p>
        </w:tc>
        <w:tc>
          <w:tcPr>
            <w:tcW w:w="1384" w:type="dxa"/>
            <w:vAlign w:val="center"/>
          </w:tcPr>
          <w:p w14:paraId="7A550645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CEA7DAA">
            <w:pPr>
              <w:jc w:val="left"/>
            </w:pPr>
            <w:r>
              <w:t>全球最受认可的衰退实时预警工具；读数 ≥ 0.5 时触发"美国衰退预警"，无论其他指标如何，强制在输出中置顶提示</w:t>
            </w:r>
          </w:p>
        </w:tc>
        <w:tc>
          <w:tcPr>
            <w:tcW w:w="1384" w:type="dxa"/>
            <w:vAlign w:val="center"/>
          </w:tcPr>
          <w:p w14:paraId="18D3E997">
            <w:pPr>
              <w:jc w:val="left"/>
            </w:pPr>
            <w:r>
              <w:t>圣路易斯联储 FRED、BLS</w:t>
            </w:r>
          </w:p>
        </w:tc>
      </w:tr>
      <w:tr w14:paraId="2508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3B4AD15">
            <w:pPr>
              <w:jc w:val="left"/>
            </w:pPr>
            <w:r>
              <w:rPr>
                <w:b/>
              </w:rPr>
              <w:t>美国投资级信用利差（IG Spread）</w:t>
            </w:r>
          </w:p>
        </w:tc>
        <w:tc>
          <w:tcPr>
            <w:tcW w:w="1384" w:type="dxa"/>
            <w:vAlign w:val="center"/>
          </w:tcPr>
          <w:p w14:paraId="17C9636B">
            <w:pPr>
              <w:jc w:val="left"/>
            </w:pPr>
            <w:r>
              <w:t>月度均值，与历史中枢对比</w:t>
            </w:r>
          </w:p>
        </w:tc>
        <w:tc>
          <w:tcPr>
            <w:tcW w:w="1384" w:type="dxa"/>
            <w:vAlign w:val="center"/>
          </w:tcPr>
          <w:p w14:paraId="07AAB637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726BAEF1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BC704DF">
            <w:pPr>
              <w:jc w:val="left"/>
            </w:pPr>
            <w:r>
              <w:t>反映美国金融条件松紧和企业融资成本传导，是美联储关注的前瞻指标，比 VIX 更能反映信用市场风险</w:t>
            </w:r>
          </w:p>
        </w:tc>
        <w:tc>
          <w:tcPr>
            <w:tcW w:w="1384" w:type="dxa"/>
            <w:vAlign w:val="center"/>
          </w:tcPr>
          <w:p w14:paraId="0FF23EC2">
            <w:pPr>
              <w:jc w:val="left"/>
            </w:pPr>
            <w:r>
              <w:t>ICE BofA / FRED</w:t>
            </w:r>
          </w:p>
        </w:tc>
      </w:tr>
      <w:tr w14:paraId="72B2E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264043E9">
            <w:pPr>
              <w:jc w:val="left"/>
            </w:pPr>
            <w:r>
              <w:rPr>
                <w:b/>
              </w:rPr>
              <w:t>密歇根消费者信心指数</w:t>
            </w:r>
          </w:p>
        </w:tc>
        <w:tc>
          <w:tcPr>
            <w:tcW w:w="1384" w:type="dxa"/>
            <w:vAlign w:val="center"/>
          </w:tcPr>
          <w:p w14:paraId="6418C6AB">
            <w:pPr>
              <w:jc w:val="left"/>
            </w:pPr>
            <w:r>
              <w:t>月度初值</w:t>
            </w:r>
          </w:p>
        </w:tc>
        <w:tc>
          <w:tcPr>
            <w:tcW w:w="1384" w:type="dxa"/>
            <w:vAlign w:val="center"/>
          </w:tcPr>
          <w:p w14:paraId="0B94735B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16084AF2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22D02CB">
            <w:pPr>
              <w:jc w:val="left"/>
            </w:pPr>
            <w:r>
              <w:t>美国消费前景领先指标，服务业景气度的核心参考，纳入美国基本面模块辅助验证</w:t>
            </w:r>
          </w:p>
        </w:tc>
        <w:tc>
          <w:tcPr>
            <w:tcW w:w="1384" w:type="dxa"/>
            <w:vAlign w:val="center"/>
          </w:tcPr>
          <w:p w14:paraId="729A1EDC">
            <w:pPr>
              <w:jc w:val="left"/>
            </w:pPr>
            <w:r>
              <w:t>密歇根大学 / 美联储</w:t>
            </w:r>
          </w:p>
        </w:tc>
      </w:tr>
      <w:tr w14:paraId="0663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94A5EEE">
            <w:pPr>
              <w:jc w:val="left"/>
            </w:pPr>
            <w:r>
              <w:rPr>
                <w:b/>
              </w:rPr>
              <w:t>美国住宅开工数</w:t>
            </w:r>
          </w:p>
        </w:tc>
        <w:tc>
          <w:tcPr>
            <w:tcW w:w="1384" w:type="dxa"/>
            <w:vAlign w:val="center"/>
          </w:tcPr>
          <w:p w14:paraId="117BA623">
            <w:pPr>
              <w:jc w:val="left"/>
            </w:pPr>
            <w:r>
              <w:t>季调后年化月度数据</w:t>
            </w:r>
          </w:p>
        </w:tc>
        <w:tc>
          <w:tcPr>
            <w:tcW w:w="1384" w:type="dxa"/>
            <w:vAlign w:val="center"/>
          </w:tcPr>
          <w:p w14:paraId="7B2E15E6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51029CC0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421A1195">
            <w:pPr>
              <w:jc w:val="left"/>
            </w:pPr>
            <w:r>
              <w:t>地产是美国经济周期的重要前瞻指标，利率敏感性传导验证，纳入美国基本面模块</w:t>
            </w:r>
          </w:p>
        </w:tc>
        <w:tc>
          <w:tcPr>
            <w:tcW w:w="1384" w:type="dxa"/>
            <w:vAlign w:val="center"/>
          </w:tcPr>
          <w:p w14:paraId="4DDAA303">
            <w:pPr>
              <w:jc w:val="left"/>
            </w:pPr>
            <w:r>
              <w:t>美国人口普查局</w:t>
            </w:r>
          </w:p>
        </w:tc>
      </w:tr>
      <w:tr w14:paraId="4E38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C0F2CE5">
            <w:pPr>
              <w:jc w:val="left"/>
            </w:pPr>
            <w:r>
              <w:rPr>
                <w:b/>
              </w:rPr>
              <w:t>标普 500 EPS 增速</w:t>
            </w:r>
          </w:p>
        </w:tc>
        <w:tc>
          <w:tcPr>
            <w:tcW w:w="1384" w:type="dxa"/>
            <w:vAlign w:val="center"/>
          </w:tcPr>
          <w:p w14:paraId="6CCA0ED4">
            <w:pPr>
              <w:jc w:val="left"/>
            </w:pPr>
            <w:r>
              <w:t>季度同比（过去 12 月滚动）</w:t>
            </w:r>
          </w:p>
        </w:tc>
        <w:tc>
          <w:tcPr>
            <w:tcW w:w="1384" w:type="dxa"/>
            <w:vAlign w:val="center"/>
          </w:tcPr>
          <w:p w14:paraId="463CB9FE">
            <w:pPr>
              <w:jc w:val="left"/>
            </w:pPr>
            <w:r>
              <w:t>季度更新（财报季）</w:t>
            </w:r>
          </w:p>
        </w:tc>
        <w:tc>
          <w:tcPr>
            <w:tcW w:w="1384" w:type="dxa"/>
            <w:vAlign w:val="center"/>
          </w:tcPr>
          <w:p w14:paraId="554AAE43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6F5AC820">
            <w:pPr>
              <w:jc w:val="left"/>
            </w:pPr>
            <w:r>
              <w:t>验证美国企业盈利周期，交叉验证 ISM PMI 信号，不参与拐点判定</w:t>
            </w:r>
          </w:p>
        </w:tc>
        <w:tc>
          <w:tcPr>
            <w:tcW w:w="1384" w:type="dxa"/>
            <w:vAlign w:val="center"/>
          </w:tcPr>
          <w:p w14:paraId="2511AD8D">
            <w:pPr>
              <w:jc w:val="left"/>
            </w:pPr>
            <w:r>
              <w:t>FactSet / Bloomberg</w:t>
            </w:r>
          </w:p>
        </w:tc>
      </w:tr>
    </w:tbl>
    <w:p w14:paraId="70577EB3">
      <w:pPr>
        <w:pBdr>
          <w:bottom w:val="single" w:color="auto" w:sz="8" w:space="0"/>
        </w:pBdr>
      </w:pPr>
    </w:p>
    <w:p w14:paraId="7E6C6167">
      <w:pPr>
        <w:pStyle w:val="7"/>
      </w:pPr>
      <w:r>
        <w:t>3.2.2 国内分子端指标（对应国内增长模块，企业盈利相关）</w:t>
      </w:r>
    </w:p>
    <w:p w14:paraId="41CC2938">
      <w:pPr>
        <w:pStyle w:val="12"/>
      </w:pPr>
      <w:r>
        <w:t>注：同比类指标默认采用「季调后 3 个月移动平均」口径，规避基数效应与单月波动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DB5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B6549FC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1E86F284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0EFD7E2F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47F1093F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5AA3490E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1164E25E">
            <w:pPr>
              <w:jc w:val="left"/>
            </w:pPr>
            <w:r>
              <w:t>数据来源</w:t>
            </w:r>
          </w:p>
        </w:tc>
      </w:tr>
      <w:tr w14:paraId="7AB8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C6FEABC">
            <w:pPr>
              <w:jc w:val="left"/>
            </w:pPr>
            <w:r>
              <w:rPr>
                <w:b/>
              </w:rPr>
              <w:t>制造业 PMI（季调后）</w:t>
            </w:r>
          </w:p>
        </w:tc>
        <w:tc>
          <w:tcPr>
            <w:tcW w:w="1384" w:type="dxa"/>
            <w:vAlign w:val="center"/>
          </w:tcPr>
          <w:p w14:paraId="01FA996A">
            <w:pPr>
              <w:jc w:val="left"/>
            </w:pPr>
            <w:r>
              <w:t>官方季调后月度数据，重点关注新订单分项</w:t>
            </w:r>
          </w:p>
        </w:tc>
        <w:tc>
          <w:tcPr>
            <w:tcW w:w="1384" w:type="dxa"/>
            <w:vAlign w:val="center"/>
          </w:tcPr>
          <w:p w14:paraId="24EB234D">
            <w:pPr>
              <w:jc w:val="left"/>
            </w:pPr>
            <w:r>
              <w:t>月度末更新（每月最后 1 日）</w:t>
            </w:r>
          </w:p>
        </w:tc>
        <w:tc>
          <w:tcPr>
            <w:tcW w:w="1384" w:type="dxa"/>
            <w:vAlign w:val="center"/>
          </w:tcPr>
          <w:p w14:paraId="4A769EA2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8DDCE0B">
            <w:pPr>
              <w:jc w:val="left"/>
            </w:pPr>
            <w:r>
              <w:t>判断国内经济景气度，核心领先信号</w:t>
            </w:r>
          </w:p>
        </w:tc>
        <w:tc>
          <w:tcPr>
            <w:tcW w:w="1384" w:type="dxa"/>
            <w:vAlign w:val="center"/>
          </w:tcPr>
          <w:p w14:paraId="091B11E8">
            <w:pPr>
              <w:jc w:val="left"/>
            </w:pPr>
            <w:r>
              <w:t>国家统计局</w:t>
            </w:r>
          </w:p>
        </w:tc>
      </w:tr>
      <w:tr w14:paraId="2459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7C8AFB3">
            <w:pPr>
              <w:jc w:val="left"/>
            </w:pPr>
            <w:r>
              <w:rPr>
                <w:b/>
              </w:rPr>
              <w:t>高技术制造业 PMI</w:t>
            </w:r>
          </w:p>
        </w:tc>
        <w:tc>
          <w:tcPr>
            <w:tcW w:w="1384" w:type="dxa"/>
            <w:vAlign w:val="center"/>
          </w:tcPr>
          <w:p w14:paraId="4716E6C3">
            <w:pPr>
              <w:jc w:val="left"/>
            </w:pPr>
            <w:r>
              <w:t>官方月度数据，聚焦航空航天/半导体/新能源/医药等高技术行业</w:t>
            </w:r>
          </w:p>
        </w:tc>
        <w:tc>
          <w:tcPr>
            <w:tcW w:w="1384" w:type="dxa"/>
            <w:vAlign w:val="center"/>
          </w:tcPr>
          <w:p w14:paraId="62F4B8B8">
            <w:pPr>
              <w:jc w:val="left"/>
            </w:pPr>
            <w:r>
              <w:t>月度末更新</w:t>
            </w:r>
          </w:p>
        </w:tc>
        <w:tc>
          <w:tcPr>
            <w:tcW w:w="1384" w:type="dxa"/>
            <w:vAlign w:val="center"/>
          </w:tcPr>
          <w:p w14:paraId="148554D9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6C59CE27">
            <w:pPr>
              <w:jc w:val="left"/>
            </w:pPr>
            <w:r>
              <w:t>反映科技产业链景气度，是 AI 科技主线的核心景气指标；与全制造业 PMI 的差值可识别"科技溢价"</w:t>
            </w:r>
          </w:p>
        </w:tc>
        <w:tc>
          <w:tcPr>
            <w:tcW w:w="1384" w:type="dxa"/>
            <w:vAlign w:val="center"/>
          </w:tcPr>
          <w:p w14:paraId="38541CA0">
            <w:pPr>
              <w:jc w:val="left"/>
            </w:pPr>
            <w:r>
              <w:t>国家统计局</w:t>
            </w:r>
          </w:p>
        </w:tc>
      </w:tr>
      <w:tr w14:paraId="54C1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2CC62C0B">
            <w:pPr>
              <w:jc w:val="left"/>
            </w:pPr>
            <w:r>
              <w:rPr>
                <w:b/>
              </w:rPr>
              <w:t>财新制造业 PMI</w:t>
            </w:r>
          </w:p>
        </w:tc>
        <w:tc>
          <w:tcPr>
            <w:tcW w:w="1384" w:type="dxa"/>
            <w:vAlign w:val="center"/>
          </w:tcPr>
          <w:p w14:paraId="60AFABF8">
            <w:pPr>
              <w:jc w:val="left"/>
            </w:pPr>
            <w:r>
              <w:t>财新/S&amp;P 季调后月度数据，样本偏中小企业</w:t>
            </w:r>
          </w:p>
        </w:tc>
        <w:tc>
          <w:tcPr>
            <w:tcW w:w="1384" w:type="dxa"/>
            <w:vAlign w:val="center"/>
          </w:tcPr>
          <w:p w14:paraId="2CC99E7B">
            <w:pPr>
              <w:jc w:val="left"/>
            </w:pPr>
            <w:r>
              <w:t>月度第一个工作日更新</w:t>
            </w:r>
          </w:p>
        </w:tc>
        <w:tc>
          <w:tcPr>
            <w:tcW w:w="1384" w:type="dxa"/>
            <w:vAlign w:val="center"/>
          </w:tcPr>
          <w:p w14:paraId="24A74EF2">
            <w:pPr>
              <w:jc w:val="left"/>
            </w:pPr>
            <w:r>
              <w:t>备用验证指标</w:t>
            </w:r>
          </w:p>
        </w:tc>
        <w:tc>
          <w:tcPr>
            <w:tcW w:w="1384" w:type="dxa"/>
            <w:vAlign w:val="center"/>
          </w:tcPr>
          <w:p w14:paraId="137290AD">
            <w:pPr>
              <w:jc w:val="left"/>
            </w:pPr>
            <w:r>
              <w:t>验证官方 PMI，补充私营企业/中小企业景气度视角；不替代官方 PMI 参与拐点判定</w:t>
            </w:r>
          </w:p>
        </w:tc>
        <w:tc>
          <w:tcPr>
            <w:tcW w:w="1384" w:type="dxa"/>
            <w:vAlign w:val="center"/>
          </w:tcPr>
          <w:p w14:paraId="1408AA14">
            <w:pPr>
              <w:jc w:val="left"/>
            </w:pPr>
            <w:r>
              <w:t>财新 / S&amp;P Global</w:t>
            </w:r>
          </w:p>
        </w:tc>
      </w:tr>
      <w:tr w14:paraId="07AE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302E7F2">
            <w:pPr>
              <w:jc w:val="left"/>
            </w:pPr>
            <w:r>
              <w:rPr>
                <w:b/>
              </w:rPr>
              <w:t>非制造业 PMI（季调后）</w:t>
            </w:r>
          </w:p>
        </w:tc>
        <w:tc>
          <w:tcPr>
            <w:tcW w:w="1384" w:type="dxa"/>
            <w:vAlign w:val="center"/>
          </w:tcPr>
          <w:p w14:paraId="59497FFE">
            <w:pPr>
              <w:jc w:val="left"/>
            </w:pPr>
            <w:r>
              <w:t>官方季调后月度数据，重点关注服务业商务活动分项</w:t>
            </w:r>
          </w:p>
        </w:tc>
        <w:tc>
          <w:tcPr>
            <w:tcW w:w="1384" w:type="dxa"/>
            <w:vAlign w:val="center"/>
          </w:tcPr>
          <w:p w14:paraId="6DA468DA">
            <w:pPr>
              <w:jc w:val="left"/>
            </w:pPr>
            <w:r>
              <w:t>月度末更新</w:t>
            </w:r>
          </w:p>
        </w:tc>
        <w:tc>
          <w:tcPr>
            <w:tcW w:w="1384" w:type="dxa"/>
            <w:vAlign w:val="center"/>
          </w:tcPr>
          <w:p w14:paraId="4C1D7E6C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8C46329">
            <w:pPr>
              <w:jc w:val="left"/>
            </w:pPr>
            <w:r>
              <w:t>判断服务消费复苏力度，补充制造业 PMI 的覆盖盲区</w:t>
            </w:r>
          </w:p>
        </w:tc>
        <w:tc>
          <w:tcPr>
            <w:tcW w:w="1384" w:type="dxa"/>
            <w:vAlign w:val="center"/>
          </w:tcPr>
          <w:p w14:paraId="01B624A5">
            <w:pPr>
              <w:jc w:val="left"/>
            </w:pPr>
            <w:r>
              <w:t>国家统计局</w:t>
            </w:r>
          </w:p>
        </w:tc>
      </w:tr>
      <w:tr w14:paraId="09C2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32A927A">
            <w:pPr>
              <w:jc w:val="left"/>
            </w:pPr>
            <w:r>
              <w:rPr>
                <w:b/>
              </w:rPr>
              <w:t>新订单 - 产成品库存剪刀差</w:t>
            </w:r>
          </w:p>
        </w:tc>
        <w:tc>
          <w:tcPr>
            <w:tcW w:w="1384" w:type="dxa"/>
            <w:vAlign w:val="center"/>
          </w:tcPr>
          <w:p w14:paraId="3E111DFD">
            <w:pPr>
              <w:jc w:val="left"/>
            </w:pPr>
            <w:r>
              <w:t>制造业 PMI 新订单分项 - 产成品库存分项，当月原始值</w:t>
            </w:r>
          </w:p>
        </w:tc>
        <w:tc>
          <w:tcPr>
            <w:tcW w:w="1384" w:type="dxa"/>
            <w:vAlign w:val="center"/>
          </w:tcPr>
          <w:p w14:paraId="78E3D75B">
            <w:pPr>
              <w:jc w:val="left"/>
            </w:pPr>
            <w:r>
              <w:t>月度末更新</w:t>
            </w:r>
          </w:p>
        </w:tc>
        <w:tc>
          <w:tcPr>
            <w:tcW w:w="1384" w:type="dxa"/>
            <w:vAlign w:val="center"/>
          </w:tcPr>
          <w:p w14:paraId="3589348A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0FCE3217">
            <w:pPr>
              <w:jc w:val="left"/>
            </w:pPr>
            <w:r>
              <w:t>判断国内需求与库存周期位置，预判企业盈利弹性</w:t>
            </w:r>
          </w:p>
        </w:tc>
        <w:tc>
          <w:tcPr>
            <w:tcW w:w="1384" w:type="dxa"/>
            <w:vAlign w:val="center"/>
          </w:tcPr>
          <w:p w14:paraId="651FF22D">
            <w:pPr>
              <w:jc w:val="left"/>
            </w:pPr>
            <w:r>
              <w:t>国家统计局</w:t>
            </w:r>
          </w:p>
        </w:tc>
      </w:tr>
      <w:tr w14:paraId="2E18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5466917">
            <w:pPr>
              <w:jc w:val="left"/>
            </w:pPr>
            <w:r>
              <w:rPr>
                <w:b/>
              </w:rPr>
              <w:t>社融存量同比</w:t>
            </w:r>
          </w:p>
        </w:tc>
        <w:tc>
          <w:tcPr>
            <w:tcW w:w="1384" w:type="dxa"/>
            <w:vAlign w:val="center"/>
          </w:tcPr>
          <w:p w14:paraId="3697C8BD">
            <w:pPr>
              <w:jc w:val="left"/>
            </w:pPr>
            <w:r>
              <w:t>季调后 3 个月移动平均</w:t>
            </w:r>
          </w:p>
        </w:tc>
        <w:tc>
          <w:tcPr>
            <w:tcW w:w="1384" w:type="dxa"/>
            <w:vAlign w:val="center"/>
          </w:tcPr>
          <w:p w14:paraId="409D7469">
            <w:pPr>
              <w:jc w:val="left"/>
            </w:pPr>
            <w:r>
              <w:t>月度中旬更新（每月 10-15 日）</w:t>
            </w:r>
          </w:p>
        </w:tc>
        <w:tc>
          <w:tcPr>
            <w:tcW w:w="1384" w:type="dxa"/>
            <w:vAlign w:val="center"/>
          </w:tcPr>
          <w:p w14:paraId="37AAD204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6D3F8E8">
            <w:pPr>
              <w:jc w:val="left"/>
            </w:pPr>
            <w:r>
              <w:t>判断国内信用扩张力度，经济增长核心动力</w:t>
            </w:r>
          </w:p>
        </w:tc>
        <w:tc>
          <w:tcPr>
            <w:tcW w:w="1384" w:type="dxa"/>
            <w:vAlign w:val="center"/>
          </w:tcPr>
          <w:p w14:paraId="5488FBDA">
            <w:pPr>
              <w:jc w:val="left"/>
            </w:pPr>
            <w:r>
              <w:t>中国人民银行官网</w:t>
            </w:r>
          </w:p>
        </w:tc>
      </w:tr>
      <w:tr w14:paraId="616B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1AB58C6C">
            <w:pPr>
              <w:jc w:val="left"/>
            </w:pPr>
            <w:r>
              <w:rPr>
                <w:b/>
              </w:rPr>
              <w:t>企业中长期贷款同比</w:t>
            </w:r>
          </w:p>
        </w:tc>
        <w:tc>
          <w:tcPr>
            <w:tcW w:w="1384" w:type="dxa"/>
            <w:vAlign w:val="center"/>
          </w:tcPr>
          <w:p w14:paraId="1CB4A219">
            <w:pPr>
              <w:jc w:val="left"/>
            </w:pPr>
            <w:r>
              <w:t>季调后 3 个月移动平均，同步跟踪占全部贷款比重</w:t>
            </w:r>
          </w:p>
        </w:tc>
        <w:tc>
          <w:tcPr>
            <w:tcW w:w="1384" w:type="dxa"/>
            <w:vAlign w:val="center"/>
          </w:tcPr>
          <w:p w14:paraId="6D47F851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3890EFDD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2B969C9">
            <w:pPr>
              <w:jc w:val="left"/>
            </w:pPr>
            <w:r>
              <w:t>判断企业投资意愿与盈利预期，信用扩张的有效性验证</w:t>
            </w:r>
          </w:p>
        </w:tc>
        <w:tc>
          <w:tcPr>
            <w:tcW w:w="1384" w:type="dxa"/>
            <w:vAlign w:val="center"/>
          </w:tcPr>
          <w:p w14:paraId="1AD31CA2">
            <w:pPr>
              <w:jc w:val="left"/>
            </w:pPr>
            <w:r>
              <w:t>中国人民银行官网</w:t>
            </w:r>
          </w:p>
        </w:tc>
      </w:tr>
      <w:tr w14:paraId="56C2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F626AA7">
            <w:pPr>
              <w:jc w:val="left"/>
            </w:pPr>
            <w:r>
              <w:rPr>
                <w:b/>
              </w:rPr>
              <w:t>M2 同比</w:t>
            </w:r>
          </w:p>
        </w:tc>
        <w:tc>
          <w:tcPr>
            <w:tcW w:w="1384" w:type="dxa"/>
            <w:vAlign w:val="center"/>
          </w:tcPr>
          <w:p w14:paraId="43FC834B">
            <w:pPr>
              <w:jc w:val="left"/>
            </w:pPr>
            <w:r>
              <w:t>季调后 3 个月移动平均</w:t>
            </w:r>
          </w:p>
        </w:tc>
        <w:tc>
          <w:tcPr>
            <w:tcW w:w="1384" w:type="dxa"/>
            <w:vAlign w:val="center"/>
          </w:tcPr>
          <w:p w14:paraId="566566D4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54946973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719E6904">
            <w:pPr>
              <w:jc w:val="left"/>
            </w:pPr>
            <w:r>
              <w:t>判断广义流动性总量，与社融结合判断货币派生与信用扩张的背离</w:t>
            </w:r>
          </w:p>
        </w:tc>
        <w:tc>
          <w:tcPr>
            <w:tcW w:w="1384" w:type="dxa"/>
            <w:vAlign w:val="center"/>
          </w:tcPr>
          <w:p w14:paraId="67AA4CA3">
            <w:pPr>
              <w:jc w:val="left"/>
            </w:pPr>
            <w:r>
              <w:t>中国人民银行官网</w:t>
            </w:r>
          </w:p>
        </w:tc>
      </w:tr>
      <w:tr w14:paraId="1B0F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E0CD18F">
            <w:pPr>
              <w:jc w:val="left"/>
            </w:pPr>
            <w:r>
              <w:rPr>
                <w:b/>
              </w:rPr>
              <w:t>社会消费品零售总额同比</w:t>
            </w:r>
          </w:p>
        </w:tc>
        <w:tc>
          <w:tcPr>
            <w:tcW w:w="1384" w:type="dxa"/>
            <w:vAlign w:val="center"/>
          </w:tcPr>
          <w:p w14:paraId="382BA594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511688C8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459F1FA6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76894658">
            <w:pPr>
              <w:jc w:val="left"/>
            </w:pPr>
            <w:r>
              <w:t>判断国内消费景气度，覆盖投资/消费/出口三驾马车中的消费维度；与服务业增加值交叉验证</w:t>
            </w:r>
          </w:p>
        </w:tc>
        <w:tc>
          <w:tcPr>
            <w:tcW w:w="1384" w:type="dxa"/>
            <w:vAlign w:val="center"/>
          </w:tcPr>
          <w:p w14:paraId="0BB12639">
            <w:pPr>
              <w:jc w:val="left"/>
            </w:pPr>
            <w:r>
              <w:t>国家统计局</w:t>
            </w:r>
          </w:p>
        </w:tc>
      </w:tr>
      <w:tr w14:paraId="24DA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FD27165">
            <w:pPr>
              <w:jc w:val="left"/>
            </w:pPr>
            <w:r>
              <w:rPr>
                <w:b/>
              </w:rPr>
              <w:t>服务业增加值同比</w:t>
            </w:r>
          </w:p>
        </w:tc>
        <w:tc>
          <w:tcPr>
            <w:tcW w:w="1384" w:type="dxa"/>
            <w:vAlign w:val="center"/>
          </w:tcPr>
          <w:p w14:paraId="0AFA0E70">
            <w:pPr>
              <w:jc w:val="left"/>
            </w:pPr>
            <w:r>
              <w:t>季度数据（第三产业）</w:t>
            </w:r>
          </w:p>
        </w:tc>
        <w:tc>
          <w:tcPr>
            <w:tcW w:w="1384" w:type="dxa"/>
            <w:vAlign w:val="center"/>
          </w:tcPr>
          <w:p w14:paraId="404CCCC0">
            <w:pPr>
              <w:jc w:val="left"/>
            </w:pPr>
            <w:r>
              <w:t>季度末更新</w:t>
            </w:r>
          </w:p>
        </w:tc>
        <w:tc>
          <w:tcPr>
            <w:tcW w:w="1384" w:type="dxa"/>
            <w:vAlign w:val="center"/>
          </w:tcPr>
          <w:p w14:paraId="064F3043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06EFE283">
            <w:pPr>
              <w:jc w:val="left"/>
            </w:pPr>
            <w:r>
              <w:t>验证消费端景气趋势，弥补社零仅覆盖商品消费的不足，覆盖服务消费</w:t>
            </w:r>
          </w:p>
        </w:tc>
        <w:tc>
          <w:tcPr>
            <w:tcW w:w="1384" w:type="dxa"/>
            <w:vAlign w:val="center"/>
          </w:tcPr>
          <w:p w14:paraId="765C7316">
            <w:pPr>
              <w:jc w:val="left"/>
            </w:pPr>
            <w:r>
              <w:t>国家统计局</w:t>
            </w:r>
          </w:p>
        </w:tc>
      </w:tr>
      <w:tr w14:paraId="38FA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62D9C9A0">
            <w:pPr>
              <w:jc w:val="left"/>
            </w:pPr>
            <w:r>
              <w:rPr>
                <w:b/>
              </w:rPr>
              <w:t>出口金额同比</w:t>
            </w:r>
          </w:p>
        </w:tc>
        <w:tc>
          <w:tcPr>
            <w:tcW w:w="1384" w:type="dxa"/>
            <w:vAlign w:val="center"/>
          </w:tcPr>
          <w:p w14:paraId="79460013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41B5030D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0E2E26E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7E12C81C">
            <w:pPr>
              <w:jc w:val="left"/>
            </w:pPr>
            <w:r>
              <w:t>映射全球需求，判断外需对国内经济的拉动作用</w:t>
            </w:r>
          </w:p>
        </w:tc>
        <w:tc>
          <w:tcPr>
            <w:tcW w:w="1384" w:type="dxa"/>
            <w:vAlign w:val="center"/>
          </w:tcPr>
          <w:p w14:paraId="309D919D">
            <w:pPr>
              <w:jc w:val="left"/>
            </w:pPr>
            <w:r>
              <w:t>海关总署官网</w:t>
            </w:r>
          </w:p>
        </w:tc>
      </w:tr>
      <w:tr w14:paraId="201F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4AFEA19">
            <w:pPr>
              <w:jc w:val="left"/>
            </w:pPr>
            <w:r>
              <w:rPr>
                <w:b/>
              </w:rPr>
              <w:t>核心 CPI 同比</w:t>
            </w:r>
          </w:p>
        </w:tc>
        <w:tc>
          <w:tcPr>
            <w:tcW w:w="1384" w:type="dxa"/>
            <w:vAlign w:val="center"/>
          </w:tcPr>
          <w:p w14:paraId="3A891CD9">
            <w:pPr>
              <w:jc w:val="left"/>
            </w:pPr>
            <w:r>
              <w:t>季调后 3 个月移动平均，剔除食品、能源价格</w:t>
            </w:r>
          </w:p>
        </w:tc>
        <w:tc>
          <w:tcPr>
            <w:tcW w:w="1384" w:type="dxa"/>
            <w:vAlign w:val="center"/>
          </w:tcPr>
          <w:p w14:paraId="42C81074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5AEFC7D3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074109CB">
            <w:pPr>
              <w:jc w:val="left"/>
            </w:pPr>
            <w:r>
              <w:t>判断国内通胀水平，企业盈利定价空间，货币政策约束</w:t>
            </w:r>
          </w:p>
        </w:tc>
        <w:tc>
          <w:tcPr>
            <w:tcW w:w="1384" w:type="dxa"/>
            <w:vAlign w:val="center"/>
          </w:tcPr>
          <w:p w14:paraId="46F3A49C">
            <w:pPr>
              <w:jc w:val="left"/>
            </w:pPr>
            <w:r>
              <w:t>国家统计局</w:t>
            </w:r>
          </w:p>
        </w:tc>
      </w:tr>
      <w:tr w14:paraId="4F4C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54A4CEB">
            <w:pPr>
              <w:jc w:val="left"/>
            </w:pPr>
            <w:r>
              <w:rPr>
                <w:b/>
              </w:rPr>
              <w:t>工业企业产能利用率</w:t>
            </w:r>
          </w:p>
        </w:tc>
        <w:tc>
          <w:tcPr>
            <w:tcW w:w="1384" w:type="dxa"/>
            <w:vAlign w:val="center"/>
          </w:tcPr>
          <w:p w14:paraId="7BCDAEF7">
            <w:pPr>
              <w:jc w:val="left"/>
            </w:pPr>
            <w:r>
              <w:t>季度官方发布口径，重点关注制造业分项</w:t>
            </w:r>
          </w:p>
        </w:tc>
        <w:tc>
          <w:tcPr>
            <w:tcW w:w="1384" w:type="dxa"/>
            <w:vAlign w:val="center"/>
          </w:tcPr>
          <w:p w14:paraId="530D07AC">
            <w:pPr>
              <w:jc w:val="left"/>
            </w:pPr>
            <w:r>
              <w:t>季度末更新（滞后 1 个月）</w:t>
            </w:r>
          </w:p>
        </w:tc>
        <w:tc>
          <w:tcPr>
            <w:tcW w:w="1384" w:type="dxa"/>
            <w:vAlign w:val="center"/>
          </w:tcPr>
          <w:p w14:paraId="7E05B87E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1DB8EF25">
            <w:pPr>
              <w:jc w:val="left"/>
            </w:pPr>
            <w:r>
              <w:t>判断国内产能供需关系，验证盈利复苏节奏，不用于拐点预判</w:t>
            </w:r>
          </w:p>
        </w:tc>
        <w:tc>
          <w:tcPr>
            <w:tcW w:w="1384" w:type="dxa"/>
            <w:vAlign w:val="center"/>
          </w:tcPr>
          <w:p w14:paraId="4E144BB3">
            <w:pPr>
              <w:jc w:val="left"/>
            </w:pPr>
            <w:r>
              <w:t>国家统计局官网</w:t>
            </w:r>
          </w:p>
        </w:tc>
      </w:tr>
      <w:tr w14:paraId="3C61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4C33E46">
            <w:pPr>
              <w:jc w:val="left"/>
            </w:pPr>
            <w:r>
              <w:rPr>
                <w:b/>
              </w:rPr>
              <w:t>工业企业利润同比</w:t>
            </w:r>
          </w:p>
        </w:tc>
        <w:tc>
          <w:tcPr>
            <w:tcW w:w="1384" w:type="dxa"/>
            <w:vAlign w:val="center"/>
          </w:tcPr>
          <w:p w14:paraId="000D8B36">
            <w:pPr>
              <w:jc w:val="left"/>
            </w:pPr>
            <w:r>
              <w:t>累计同比、季调后修正</w:t>
            </w:r>
          </w:p>
        </w:tc>
        <w:tc>
          <w:tcPr>
            <w:tcW w:w="1384" w:type="dxa"/>
            <w:vAlign w:val="center"/>
          </w:tcPr>
          <w:p w14:paraId="63CA5013">
            <w:pPr>
              <w:jc w:val="left"/>
            </w:pPr>
            <w:r>
              <w:t>月度中旬更新（滞后 1 个月）</w:t>
            </w:r>
          </w:p>
        </w:tc>
        <w:tc>
          <w:tcPr>
            <w:tcW w:w="1384" w:type="dxa"/>
            <w:vAlign w:val="center"/>
          </w:tcPr>
          <w:p w14:paraId="3B3A2567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5AE42D4A">
            <w:pPr>
              <w:jc w:val="left"/>
            </w:pPr>
            <w:r>
              <w:t>验证企业盈利真实性，交叉验证增长模块结论，不用于拐点预判</w:t>
            </w:r>
          </w:p>
        </w:tc>
        <w:tc>
          <w:tcPr>
            <w:tcW w:w="1384" w:type="dxa"/>
            <w:vAlign w:val="center"/>
          </w:tcPr>
          <w:p w14:paraId="041AB752">
            <w:pPr>
              <w:jc w:val="left"/>
            </w:pPr>
            <w:r>
              <w:t>国家统计局官网</w:t>
            </w:r>
          </w:p>
        </w:tc>
      </w:tr>
      <w:tr w14:paraId="2B01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14497219">
            <w:pPr>
              <w:jc w:val="left"/>
            </w:pPr>
            <w:r>
              <w:rPr>
                <w:b/>
              </w:rPr>
              <w:t>花旗中国经济意外指数</w:t>
            </w:r>
          </w:p>
        </w:tc>
        <w:tc>
          <w:tcPr>
            <w:tcW w:w="1384" w:type="dxa"/>
            <w:vAlign w:val="center"/>
          </w:tcPr>
          <w:p w14:paraId="00FC36A2">
            <w:pPr>
              <w:jc w:val="left"/>
            </w:pPr>
            <w:r>
              <w:t>周度数据、月度汇总</w:t>
            </w:r>
          </w:p>
        </w:tc>
        <w:tc>
          <w:tcPr>
            <w:tcW w:w="1384" w:type="dxa"/>
            <w:vAlign w:val="center"/>
          </w:tcPr>
          <w:p w14:paraId="5DCD4061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50599CBB">
            <w:pPr>
              <w:jc w:val="left"/>
            </w:pPr>
            <w:r>
              <w:t>验证指标</w:t>
            </w:r>
          </w:p>
        </w:tc>
        <w:tc>
          <w:tcPr>
            <w:tcW w:w="1384" w:type="dxa"/>
            <w:vAlign w:val="center"/>
          </w:tcPr>
          <w:p w14:paraId="6B80F20C">
            <w:pPr>
              <w:jc w:val="left"/>
            </w:pPr>
            <w:r>
              <w:t>判断国内数据与市场预期的差值，验证预期差定价空间</w:t>
            </w:r>
          </w:p>
        </w:tc>
        <w:tc>
          <w:tcPr>
            <w:tcW w:w="1384" w:type="dxa"/>
            <w:vAlign w:val="center"/>
          </w:tcPr>
          <w:p w14:paraId="22D4F75D">
            <w:pPr>
              <w:jc w:val="left"/>
            </w:pPr>
            <w:r>
              <w:t>花旗银行、Wind</w:t>
            </w:r>
          </w:p>
        </w:tc>
      </w:tr>
    </w:tbl>
    <w:p w14:paraId="516D04E0">
      <w:pPr>
        <w:pBdr>
          <w:bottom w:val="single" w:color="auto" w:sz="8" w:space="0"/>
        </w:pBdr>
      </w:pPr>
    </w:p>
    <w:p w14:paraId="3C26A0DF">
      <w:pPr>
        <w:pStyle w:val="7"/>
      </w:pPr>
      <w:r>
        <w:t>3.2.3 国内分母端指标（对应国内货币模块，流动性相关）</w:t>
      </w:r>
    </w:p>
    <w:p w14:paraId="090E4281">
      <w:pPr>
        <w:pStyle w:val="12"/>
      </w:pPr>
      <w:r>
        <w:t>注：利率类指标统一采用「日度均值→月度滚动平均」口径，平滑日内波动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A77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934468C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3DE05211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7C8E0C81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46406BB6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28D065D0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72584CA2">
            <w:pPr>
              <w:jc w:val="left"/>
            </w:pPr>
            <w:r>
              <w:t>数据来源</w:t>
            </w:r>
          </w:p>
        </w:tc>
      </w:tr>
      <w:tr w14:paraId="23F2B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99FB715">
            <w:pPr>
              <w:jc w:val="left"/>
            </w:pPr>
            <w:r>
              <w:rPr>
                <w:b/>
              </w:rPr>
              <w:t>DR007</w:t>
            </w:r>
          </w:p>
        </w:tc>
        <w:tc>
          <w:tcPr>
            <w:tcW w:w="1384" w:type="dxa"/>
            <w:vAlign w:val="center"/>
          </w:tcPr>
          <w:p w14:paraId="14FAFEAC">
            <w:pPr>
              <w:jc w:val="left"/>
            </w:pPr>
            <w:r>
              <w:t>日度均值、月度滚动平均，与 7 天逆回购政策利率做利差对比</w:t>
            </w:r>
          </w:p>
        </w:tc>
        <w:tc>
          <w:tcPr>
            <w:tcW w:w="1384" w:type="dxa"/>
            <w:vAlign w:val="center"/>
          </w:tcPr>
          <w:p w14:paraId="7A497D3F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5B23F360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6C9CA41B">
            <w:pPr>
              <w:jc w:val="left"/>
            </w:pPr>
            <w:r>
              <w:t>判断国内银行间流动性松紧，央行政策意图的核心映射</w:t>
            </w:r>
          </w:p>
        </w:tc>
        <w:tc>
          <w:tcPr>
            <w:tcW w:w="1384" w:type="dxa"/>
            <w:vAlign w:val="center"/>
          </w:tcPr>
          <w:p w14:paraId="029F9AA6">
            <w:pPr>
              <w:jc w:val="left"/>
            </w:pPr>
            <w:r>
              <w:t>中国人民银行官网、全国银行间同业拆借中心</w:t>
            </w:r>
          </w:p>
        </w:tc>
      </w:tr>
      <w:tr w14:paraId="2219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A82D5F4">
            <w:pPr>
              <w:jc w:val="left"/>
            </w:pPr>
            <w:r>
              <w:rPr>
                <w:b/>
              </w:rPr>
              <w:t>10 年期国债收益率</w:t>
            </w:r>
          </w:p>
        </w:tc>
        <w:tc>
          <w:tcPr>
            <w:tcW w:w="1384" w:type="dxa"/>
            <w:vAlign w:val="center"/>
          </w:tcPr>
          <w:p w14:paraId="7DB1843F">
            <w:pPr>
              <w:jc w:val="left"/>
            </w:pPr>
            <w:r>
              <w:t>日度均值、月度滚动平均，与政策利率做利差对比</w:t>
            </w:r>
          </w:p>
        </w:tc>
        <w:tc>
          <w:tcPr>
            <w:tcW w:w="1384" w:type="dxa"/>
            <w:vAlign w:val="center"/>
          </w:tcPr>
          <w:p w14:paraId="50DC139E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62D3BFC9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1450C8CF">
            <w:pPr>
              <w:jc w:val="left"/>
            </w:pPr>
            <w:r>
              <w:t>反映国内无风险利率，A 股流动性定价中枢</w:t>
            </w:r>
          </w:p>
        </w:tc>
        <w:tc>
          <w:tcPr>
            <w:tcW w:w="1384" w:type="dxa"/>
            <w:vAlign w:val="center"/>
          </w:tcPr>
          <w:p w14:paraId="54F8A00C">
            <w:pPr>
              <w:jc w:val="left"/>
            </w:pPr>
            <w:r>
              <w:t>中国债券信息网、Wind</w:t>
            </w:r>
          </w:p>
        </w:tc>
      </w:tr>
      <w:tr w14:paraId="0D6F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50D9CEE">
            <w:pPr>
              <w:jc w:val="left"/>
            </w:pPr>
            <w:r>
              <w:rPr>
                <w:b/>
              </w:rPr>
              <w:t>7 天逆回购政策利率</w:t>
            </w:r>
          </w:p>
        </w:tc>
        <w:tc>
          <w:tcPr>
            <w:tcW w:w="1384" w:type="dxa"/>
            <w:vAlign w:val="center"/>
          </w:tcPr>
          <w:p w14:paraId="41F259E1">
            <w:pPr>
              <w:jc w:val="left"/>
            </w:pPr>
            <w:r>
              <w:t>央行公布的官方目标利率，调整后即时更新</w:t>
            </w:r>
          </w:p>
        </w:tc>
        <w:tc>
          <w:tcPr>
            <w:tcW w:w="1384" w:type="dxa"/>
            <w:vAlign w:val="center"/>
          </w:tcPr>
          <w:p w14:paraId="5944FD9C">
            <w:pPr>
              <w:jc w:val="left"/>
            </w:pPr>
            <w:r>
              <w:t>调整后即时更新</w:t>
            </w:r>
          </w:p>
        </w:tc>
        <w:tc>
          <w:tcPr>
            <w:tcW w:w="1384" w:type="dxa"/>
            <w:vAlign w:val="center"/>
          </w:tcPr>
          <w:p w14:paraId="3ED442D8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733D009A">
            <w:pPr>
              <w:jc w:val="left"/>
            </w:pPr>
            <w:r>
              <w:t>国内短期流动性政策锚，判断央行货币政策方向</w:t>
            </w:r>
          </w:p>
        </w:tc>
        <w:tc>
          <w:tcPr>
            <w:tcW w:w="1384" w:type="dxa"/>
            <w:vAlign w:val="center"/>
          </w:tcPr>
          <w:p w14:paraId="6F5D38E2">
            <w:pPr>
              <w:jc w:val="left"/>
            </w:pPr>
            <w:r>
              <w:t>中国人民银行官网</w:t>
            </w:r>
          </w:p>
        </w:tc>
      </w:tr>
      <w:tr w14:paraId="7A86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9B147EC">
            <w:pPr>
              <w:jc w:val="left"/>
            </w:pPr>
            <w:r>
              <w:rPr>
                <w:b/>
              </w:rPr>
              <w:t>MLF 利率</w:t>
            </w:r>
          </w:p>
        </w:tc>
        <w:tc>
          <w:tcPr>
            <w:tcW w:w="1384" w:type="dxa"/>
            <w:vAlign w:val="center"/>
          </w:tcPr>
          <w:p w14:paraId="7B28FD2A">
            <w:pPr>
              <w:jc w:val="left"/>
            </w:pPr>
            <w:r>
              <w:t>央行公布的中期借贷便利官方利率，月度操作日更新</w:t>
            </w:r>
          </w:p>
        </w:tc>
        <w:tc>
          <w:tcPr>
            <w:tcW w:w="1384" w:type="dxa"/>
            <w:vAlign w:val="center"/>
          </w:tcPr>
          <w:p w14:paraId="782630ED">
            <w:pPr>
              <w:jc w:val="left"/>
            </w:pPr>
            <w:r>
              <w:t>月度操作日更新</w:t>
            </w:r>
          </w:p>
        </w:tc>
        <w:tc>
          <w:tcPr>
            <w:tcW w:w="1384" w:type="dxa"/>
            <w:vAlign w:val="center"/>
          </w:tcPr>
          <w:p w14:paraId="52E13A56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6F5880AE">
            <w:pPr>
              <w:jc w:val="left"/>
            </w:pPr>
            <w:r>
              <w:t>判断国内中期流动性政策基调，信贷宽松力度</w:t>
            </w:r>
          </w:p>
        </w:tc>
        <w:tc>
          <w:tcPr>
            <w:tcW w:w="1384" w:type="dxa"/>
            <w:vAlign w:val="center"/>
          </w:tcPr>
          <w:p w14:paraId="53F4D294">
            <w:pPr>
              <w:jc w:val="left"/>
            </w:pPr>
            <w:r>
              <w:t>中国人民银行官网</w:t>
            </w:r>
          </w:p>
        </w:tc>
      </w:tr>
      <w:tr w14:paraId="154B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C46484F">
            <w:pPr>
              <w:jc w:val="left"/>
            </w:pPr>
            <w:r>
              <w:rPr>
                <w:b/>
              </w:rPr>
              <w:t>1 年期 LPR 利率</w:t>
            </w:r>
          </w:p>
        </w:tc>
        <w:tc>
          <w:tcPr>
            <w:tcW w:w="1384" w:type="dxa"/>
            <w:vAlign w:val="center"/>
          </w:tcPr>
          <w:p w14:paraId="11E046AA">
            <w:pPr>
              <w:jc w:val="left"/>
            </w:pPr>
            <w:r>
              <w:t>央行授权公布的官方报价</w:t>
            </w:r>
          </w:p>
        </w:tc>
        <w:tc>
          <w:tcPr>
            <w:tcW w:w="1384" w:type="dxa"/>
            <w:vAlign w:val="center"/>
          </w:tcPr>
          <w:p w14:paraId="1379E5DE">
            <w:pPr>
              <w:jc w:val="left"/>
            </w:pPr>
            <w:r>
              <w:t>每月 20 日更新（遇节假日顺延）</w:t>
            </w:r>
          </w:p>
        </w:tc>
        <w:tc>
          <w:tcPr>
            <w:tcW w:w="1384" w:type="dxa"/>
            <w:vAlign w:val="center"/>
          </w:tcPr>
          <w:p w14:paraId="569F780D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7FD51574">
            <w:pPr>
              <w:jc w:val="left"/>
            </w:pPr>
            <w:r>
              <w:t>反映实体经济融资成本，流动性向实体的传导效果</w:t>
            </w:r>
          </w:p>
        </w:tc>
        <w:tc>
          <w:tcPr>
            <w:tcW w:w="1384" w:type="dxa"/>
            <w:vAlign w:val="center"/>
          </w:tcPr>
          <w:p w14:paraId="424610F0">
            <w:pPr>
              <w:jc w:val="left"/>
            </w:pPr>
            <w:r>
              <w:t>中国人民银行官网、全国银行间同业拆借中心</w:t>
            </w:r>
          </w:p>
        </w:tc>
      </w:tr>
      <w:tr w14:paraId="055F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8953361">
            <w:pPr>
              <w:jc w:val="left"/>
            </w:pPr>
            <w:r>
              <w:rPr>
                <w:b/>
              </w:rPr>
              <w:t>核心 CPI 同比</w:t>
            </w:r>
          </w:p>
        </w:tc>
        <w:tc>
          <w:tcPr>
            <w:tcW w:w="1384" w:type="dxa"/>
            <w:vAlign w:val="center"/>
          </w:tcPr>
          <w:p w14:paraId="486AE842">
            <w:pPr>
              <w:jc w:val="left"/>
            </w:pPr>
            <w:r>
              <w:t>季调后 3 个月移动平均，见 3.2.2 说明</w:t>
            </w:r>
          </w:p>
        </w:tc>
        <w:tc>
          <w:tcPr>
            <w:tcW w:w="1384" w:type="dxa"/>
            <w:vAlign w:val="center"/>
          </w:tcPr>
          <w:p w14:paraId="47E85903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27173C6F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377FFD59">
            <w:pPr>
              <w:jc w:val="left"/>
            </w:pPr>
            <w:r>
              <w:t>判断国内通胀水平，货币政策的约束条件</w:t>
            </w:r>
          </w:p>
        </w:tc>
        <w:tc>
          <w:tcPr>
            <w:tcW w:w="1384" w:type="dxa"/>
            <w:vAlign w:val="center"/>
          </w:tcPr>
          <w:p w14:paraId="459C5A5B">
            <w:pPr>
              <w:jc w:val="left"/>
            </w:pPr>
            <w:r>
              <w:t>国家统计局</w:t>
            </w:r>
          </w:p>
        </w:tc>
      </w:tr>
    </w:tbl>
    <w:p w14:paraId="7A375F1C">
      <w:pPr>
        <w:pBdr>
          <w:bottom w:val="single" w:color="auto" w:sz="8" w:space="0"/>
        </w:pBdr>
      </w:pPr>
    </w:p>
    <w:p w14:paraId="0C3901C9">
      <w:pPr>
        <w:pStyle w:val="7"/>
      </w:pPr>
      <w:r>
        <w:t>3.2.4 交叉验证指标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F7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76C53C4">
            <w:pPr>
              <w:jc w:val="left"/>
            </w:pPr>
            <w:r>
              <w:t>指标名称</w:t>
            </w:r>
          </w:p>
        </w:tc>
        <w:tc>
          <w:tcPr>
            <w:tcW w:w="1661" w:type="dxa"/>
            <w:vAlign w:val="center"/>
          </w:tcPr>
          <w:p w14:paraId="4C735638">
            <w:pPr>
              <w:jc w:val="left"/>
            </w:pPr>
            <w:r>
              <w:t>统计口径</w:t>
            </w:r>
          </w:p>
        </w:tc>
        <w:tc>
          <w:tcPr>
            <w:tcW w:w="1661" w:type="dxa"/>
            <w:vAlign w:val="center"/>
          </w:tcPr>
          <w:p w14:paraId="1FCD7D27">
            <w:pPr>
              <w:jc w:val="left"/>
            </w:pPr>
            <w:r>
              <w:t>更新频率</w:t>
            </w:r>
          </w:p>
        </w:tc>
        <w:tc>
          <w:tcPr>
            <w:tcW w:w="1661" w:type="dxa"/>
            <w:vAlign w:val="center"/>
          </w:tcPr>
          <w:p w14:paraId="3024740F">
            <w:pPr>
              <w:jc w:val="left"/>
            </w:pPr>
            <w:r>
              <w:t>核心用途</w:t>
            </w:r>
          </w:p>
        </w:tc>
        <w:tc>
          <w:tcPr>
            <w:tcW w:w="1661" w:type="dxa"/>
            <w:vAlign w:val="center"/>
          </w:tcPr>
          <w:p w14:paraId="65520973">
            <w:pPr>
              <w:jc w:val="left"/>
            </w:pPr>
            <w:r>
              <w:t>数据来源</w:t>
            </w:r>
          </w:p>
        </w:tc>
      </w:tr>
      <w:tr w14:paraId="7937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96E7C71">
            <w:pPr>
              <w:jc w:val="left"/>
            </w:pPr>
            <w:r>
              <w:rPr>
                <w:b/>
              </w:rPr>
              <w:t>人民币在岸即期汇率</w:t>
            </w:r>
          </w:p>
        </w:tc>
        <w:tc>
          <w:tcPr>
            <w:tcW w:w="1661" w:type="dxa"/>
            <w:vAlign w:val="center"/>
          </w:tcPr>
          <w:p w14:paraId="330D354C">
            <w:pPr>
              <w:jc w:val="left"/>
            </w:pPr>
            <w:r>
              <w:t>日度均值、月度滚动平均，计算单月波动幅度</w:t>
            </w:r>
          </w:p>
        </w:tc>
        <w:tc>
          <w:tcPr>
            <w:tcW w:w="1661" w:type="dxa"/>
            <w:vAlign w:val="center"/>
          </w:tcPr>
          <w:p w14:paraId="4A54B961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4E593903">
            <w:pPr>
              <w:jc w:val="left"/>
            </w:pPr>
            <w:r>
              <w:t>交叉验证全球资金流向、国内流动性松紧、中美周期分化程度</w:t>
            </w:r>
          </w:p>
        </w:tc>
        <w:tc>
          <w:tcPr>
            <w:tcW w:w="1661" w:type="dxa"/>
            <w:vAlign w:val="center"/>
          </w:tcPr>
          <w:p w14:paraId="380E9763">
            <w:pPr>
              <w:jc w:val="left"/>
            </w:pPr>
            <w:r>
              <w:t>中国外汇交易中心官网</w:t>
            </w:r>
          </w:p>
        </w:tc>
      </w:tr>
      <w:tr w14:paraId="07EA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8504E64">
            <w:pPr>
              <w:jc w:val="left"/>
            </w:pPr>
            <w:r>
              <w:rPr>
                <w:b/>
              </w:rPr>
              <w:t>北向资金月度净流入</w:t>
            </w:r>
          </w:p>
        </w:tc>
        <w:tc>
          <w:tcPr>
            <w:tcW w:w="1661" w:type="dxa"/>
            <w:vAlign w:val="center"/>
          </w:tcPr>
          <w:p w14:paraId="667EBBE2">
            <w:pPr>
              <w:jc w:val="left"/>
            </w:pPr>
            <w:r>
              <w:t>月度累计值，日度更新、月度汇总；</w:t>
            </w:r>
            <w:r>
              <w:rPr>
                <w:b/>
              </w:rPr>
              <w:t>有效信号阈值：单月净流入 &gt; 200 亿认定有效，≤ -200 亿认定有效净流出，之间为中性</w:t>
            </w:r>
          </w:p>
        </w:tc>
        <w:tc>
          <w:tcPr>
            <w:tcW w:w="1661" w:type="dxa"/>
            <w:vAlign w:val="center"/>
          </w:tcPr>
          <w:p w14:paraId="76570A47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306F3AD7">
            <w:pPr>
              <w:jc w:val="left"/>
            </w:pPr>
            <w:r>
              <w:t>交叉验证全球风险偏好、国内 A 股资产吸引力</w:t>
            </w:r>
          </w:p>
        </w:tc>
        <w:tc>
          <w:tcPr>
            <w:tcW w:w="1661" w:type="dxa"/>
            <w:vAlign w:val="center"/>
          </w:tcPr>
          <w:p w14:paraId="1383041A">
            <w:pPr>
              <w:jc w:val="left"/>
            </w:pPr>
            <w:r>
              <w:t>上交所、深交所官网</w:t>
            </w:r>
          </w:p>
        </w:tc>
      </w:tr>
      <w:tr w14:paraId="2C3F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6242D61">
            <w:pPr>
              <w:jc w:val="left"/>
            </w:pPr>
            <w:r>
              <w:rPr>
                <w:b/>
              </w:rPr>
              <w:t>融资融券余额</w:t>
            </w:r>
          </w:p>
        </w:tc>
        <w:tc>
          <w:tcPr>
            <w:tcW w:w="1661" w:type="dxa"/>
            <w:vAlign w:val="center"/>
          </w:tcPr>
          <w:p w14:paraId="4EAFC77A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135A6C45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634A1E0B">
            <w:pPr>
              <w:jc w:val="left"/>
            </w:pPr>
            <w:r>
              <w:t>交叉验证国内市场杠杆水平、投资者风险偏好</w:t>
            </w:r>
          </w:p>
        </w:tc>
        <w:tc>
          <w:tcPr>
            <w:tcW w:w="1661" w:type="dxa"/>
            <w:vAlign w:val="center"/>
          </w:tcPr>
          <w:p w14:paraId="0D787E5A">
            <w:pPr>
              <w:jc w:val="left"/>
            </w:pPr>
            <w:r>
              <w:t>上交所、深交所官网</w:t>
            </w:r>
          </w:p>
        </w:tc>
      </w:tr>
      <w:tr w14:paraId="2CCE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C39F21C">
            <w:pPr>
              <w:jc w:val="left"/>
            </w:pPr>
            <w:r>
              <w:rPr>
                <w:b/>
              </w:rPr>
              <w:t>沪深 300 股指期货主力合约升贴水</w:t>
            </w:r>
          </w:p>
        </w:tc>
        <w:tc>
          <w:tcPr>
            <w:tcW w:w="1661" w:type="dxa"/>
            <w:vAlign w:val="center"/>
          </w:tcPr>
          <w:p w14:paraId="3CA3D63D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1A7A2328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3851B4C2">
            <w:pPr>
              <w:jc w:val="left"/>
            </w:pPr>
            <w:r>
              <w:t>交叉验证机构投资者对 A 股的一致预期</w:t>
            </w:r>
          </w:p>
        </w:tc>
        <w:tc>
          <w:tcPr>
            <w:tcW w:w="1661" w:type="dxa"/>
            <w:vAlign w:val="center"/>
          </w:tcPr>
          <w:p w14:paraId="4B48800B">
            <w:pPr>
              <w:jc w:val="left"/>
            </w:pPr>
            <w:r>
              <w:t>中国金融期货交易所、Wind</w:t>
            </w:r>
          </w:p>
        </w:tc>
      </w:tr>
      <w:tr w14:paraId="3C64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EDD3F13">
            <w:pPr>
              <w:jc w:val="left"/>
            </w:pPr>
            <w:r>
              <w:rPr>
                <w:b/>
              </w:rPr>
              <w:t>沪深 300 股指期权 Put/Call 比率</w:t>
            </w:r>
          </w:p>
        </w:tc>
        <w:tc>
          <w:tcPr>
            <w:tcW w:w="1661" w:type="dxa"/>
            <w:vAlign w:val="center"/>
          </w:tcPr>
          <w:p w14:paraId="50ECBBB7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50FD61A2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6C8A6434">
            <w:pPr>
              <w:jc w:val="left"/>
            </w:pPr>
            <w:r>
              <w:t>判断市场情绪与拐点前瞻，P/C 比率极端高位往往对应市场底部</w:t>
            </w:r>
          </w:p>
        </w:tc>
        <w:tc>
          <w:tcPr>
            <w:tcW w:w="1661" w:type="dxa"/>
            <w:vAlign w:val="center"/>
          </w:tcPr>
          <w:p w14:paraId="225C8018">
            <w:pPr>
              <w:jc w:val="left"/>
            </w:pPr>
            <w:r>
              <w:t>上海证券交易所、Wind</w:t>
            </w:r>
          </w:p>
        </w:tc>
      </w:tr>
      <w:tr w14:paraId="5A45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4618AC7">
            <w:pPr>
              <w:jc w:val="left"/>
            </w:pPr>
            <w:r>
              <w:rPr>
                <w:b/>
              </w:rPr>
              <w:t>中证 1000 股指期货主力合约基差率</w:t>
            </w:r>
          </w:p>
        </w:tc>
        <w:tc>
          <w:tcPr>
            <w:tcW w:w="1661" w:type="dxa"/>
            <w:vAlign w:val="center"/>
          </w:tcPr>
          <w:p w14:paraId="482897A7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42A1FC13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79188340">
            <w:pPr>
              <w:jc w:val="left"/>
            </w:pPr>
            <w:r>
              <w:t>判断中小盘情绪与做空力量，基差率极端负值往往对应底部区域</w:t>
            </w:r>
          </w:p>
        </w:tc>
        <w:tc>
          <w:tcPr>
            <w:tcW w:w="1661" w:type="dxa"/>
            <w:vAlign w:val="center"/>
          </w:tcPr>
          <w:p w14:paraId="3677BE5E">
            <w:pPr>
              <w:jc w:val="left"/>
            </w:pPr>
            <w:r>
              <w:t>中国金融期货交易所、Wind</w:t>
            </w:r>
          </w:p>
        </w:tc>
      </w:tr>
      <w:tr w14:paraId="6233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5ACF4413">
            <w:pPr>
              <w:jc w:val="left"/>
            </w:pPr>
            <w:r>
              <w:rPr>
                <w:b/>
              </w:rPr>
              <w:t>10 年期国债期货持仓量变化</w:t>
            </w:r>
          </w:p>
        </w:tc>
        <w:tc>
          <w:tcPr>
            <w:tcW w:w="1661" w:type="dxa"/>
            <w:vAlign w:val="center"/>
          </w:tcPr>
          <w:p w14:paraId="51E815F4">
            <w:pPr>
              <w:jc w:val="left"/>
            </w:pPr>
            <w:r>
              <w:t>周度变化率、月度汇总</w:t>
            </w:r>
          </w:p>
        </w:tc>
        <w:tc>
          <w:tcPr>
            <w:tcW w:w="1661" w:type="dxa"/>
            <w:vAlign w:val="center"/>
          </w:tcPr>
          <w:p w14:paraId="317D62CC">
            <w:pPr>
              <w:jc w:val="left"/>
            </w:pPr>
            <w:r>
              <w:t>周度更新</w:t>
            </w:r>
          </w:p>
        </w:tc>
        <w:tc>
          <w:tcPr>
            <w:tcW w:w="1661" w:type="dxa"/>
            <w:vAlign w:val="center"/>
          </w:tcPr>
          <w:p w14:paraId="5B978EA3">
            <w:pPr>
              <w:jc w:val="left"/>
            </w:pPr>
            <w:r>
              <w:t>判断机构对利率方向的预期，持仓量持续增加对应降息预期强化</w:t>
            </w:r>
          </w:p>
        </w:tc>
        <w:tc>
          <w:tcPr>
            <w:tcW w:w="1661" w:type="dxa"/>
            <w:vAlign w:val="center"/>
          </w:tcPr>
          <w:p w14:paraId="2F50B9B9">
            <w:pPr>
              <w:jc w:val="left"/>
            </w:pPr>
            <w:r>
              <w:t>中国金融期货交易所、Wind</w:t>
            </w:r>
          </w:p>
        </w:tc>
      </w:tr>
      <w:tr w14:paraId="2D98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27173BC">
            <w:pPr>
              <w:jc w:val="left"/>
            </w:pPr>
            <w:r>
              <w:rPr>
                <w:b/>
              </w:rPr>
              <w:t>政策预期打分卡</w:t>
            </w:r>
          </w:p>
        </w:tc>
        <w:tc>
          <w:tcPr>
            <w:tcW w:w="1661" w:type="dxa"/>
            <w:vAlign w:val="center"/>
          </w:tcPr>
          <w:p w14:paraId="5C8DEF18">
            <w:pPr>
              <w:jc w:val="left"/>
            </w:pPr>
            <w:r>
              <w:t>月度打分，0-10 分</w:t>
            </w:r>
          </w:p>
        </w:tc>
        <w:tc>
          <w:tcPr>
            <w:tcW w:w="1661" w:type="dxa"/>
            <w:vAlign w:val="center"/>
          </w:tcPr>
          <w:p w14:paraId="20620AF2">
            <w:pPr>
              <w:jc w:val="left"/>
            </w:pPr>
            <w:r>
              <w:t>月度更新</w:t>
            </w:r>
          </w:p>
        </w:tc>
        <w:tc>
          <w:tcPr>
            <w:tcW w:w="1661" w:type="dxa"/>
            <w:vAlign w:val="center"/>
          </w:tcPr>
          <w:p w14:paraId="16EA7A62">
            <w:pPr>
              <w:jc w:val="left"/>
            </w:pPr>
            <w:r>
              <w:t>综合新华社/人民日报措辞变化、国常会频次与关键词、央行货政报告措辞，判断政策转向可能性</w:t>
            </w:r>
          </w:p>
        </w:tc>
        <w:tc>
          <w:tcPr>
            <w:tcW w:w="1661" w:type="dxa"/>
            <w:vAlign w:val="center"/>
          </w:tcPr>
          <w:p w14:paraId="3AD67F90">
            <w:pPr>
              <w:jc w:val="left"/>
            </w:pPr>
            <w:r>
              <w:t>人工+AI NLP 分析，详见 4.4.7</w:t>
            </w:r>
          </w:p>
        </w:tc>
      </w:tr>
      <w:tr w14:paraId="5DF4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A2A1020">
            <w:pPr>
              <w:jc w:val="left"/>
            </w:pPr>
            <w:r>
              <w:rPr>
                <w:b/>
              </w:rPr>
              <w:t>铜金比（Copper/Gold Ratio）</w:t>
            </w:r>
          </w:p>
        </w:tc>
        <w:tc>
          <w:tcPr>
            <w:tcW w:w="1661" w:type="dxa"/>
            <w:vAlign w:val="center"/>
          </w:tcPr>
          <w:p w14:paraId="12B406F9">
            <w:pPr>
              <w:jc w:val="left"/>
            </w:pPr>
            <w:r>
              <w:t>月度均值，取伦铜/现货黄金</w:t>
            </w:r>
          </w:p>
        </w:tc>
        <w:tc>
          <w:tcPr>
            <w:tcW w:w="1661" w:type="dxa"/>
            <w:vAlign w:val="center"/>
          </w:tcPr>
          <w:p w14:paraId="69E93FB4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486B327F">
            <w:pPr>
              <w:jc w:val="left"/>
            </w:pPr>
            <w:r>
              <w:t>全球经济增长预期的市场隐含信号，与 PMI 强相关，领先于 PMI 更新频率，弥补 PMI 月度更新的滞后性</w:t>
            </w:r>
          </w:p>
        </w:tc>
        <w:tc>
          <w:tcPr>
            <w:tcW w:w="1661" w:type="dxa"/>
            <w:vAlign w:val="center"/>
          </w:tcPr>
          <w:p w14:paraId="368E88EA">
            <w:pPr>
              <w:jc w:val="left"/>
            </w:pPr>
            <w:r>
              <w:t>LME / COMEX</w:t>
            </w:r>
          </w:p>
        </w:tc>
      </w:tr>
      <w:tr w14:paraId="266B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584400E">
            <w:pPr>
              <w:jc w:val="left"/>
            </w:pPr>
            <w:r>
              <w:rPr>
                <w:b/>
              </w:rPr>
              <w:t>标普 500 期货夜盘隐含波动率</w:t>
            </w:r>
          </w:p>
        </w:tc>
        <w:tc>
          <w:tcPr>
            <w:tcW w:w="1661" w:type="dxa"/>
            <w:vAlign w:val="center"/>
          </w:tcPr>
          <w:p w14:paraId="08C5B94B">
            <w:pPr>
              <w:jc w:val="left"/>
            </w:pPr>
            <w:r>
              <w:t>日度 VIX 期货升贴水，与 VIX 联动</w:t>
            </w:r>
          </w:p>
        </w:tc>
        <w:tc>
          <w:tcPr>
            <w:tcW w:w="1661" w:type="dxa"/>
            <w:vAlign w:val="center"/>
          </w:tcPr>
          <w:p w14:paraId="3130DDE8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25AB1A22">
            <w:pPr>
              <w:jc w:val="left"/>
            </w:pPr>
            <w:r>
              <w:t>美股机构情绪即时验证指标，补充 VIX 日度均值的信息维度</w:t>
            </w:r>
          </w:p>
        </w:tc>
        <w:tc>
          <w:tcPr>
            <w:tcW w:w="1661" w:type="dxa"/>
            <w:vAlign w:val="center"/>
          </w:tcPr>
          <w:p w14:paraId="11A66AA2">
            <w:pPr>
              <w:jc w:val="left"/>
            </w:pPr>
            <w:r>
              <w:t>CBOE / CME</w:t>
            </w:r>
          </w:p>
        </w:tc>
      </w:tr>
    </w:tbl>
    <w:p w14:paraId="75F8E578">
      <w:pPr>
        <w:pBdr>
          <w:bottom w:val="single" w:color="auto" w:sz="8" w:space="0"/>
        </w:pBdr>
      </w:pPr>
    </w:p>
    <w:p w14:paraId="40AFA47F">
      <w:pPr>
        <w:pStyle w:val="6"/>
      </w:pPr>
      <w:r>
        <w:t>3.3 指标口径强制规范</w:t>
      </w:r>
    </w:p>
    <w:p w14:paraId="43AC7DEA">
      <w:pPr>
        <w:pStyle w:val="4"/>
        <w:numPr>
          <w:ilvl w:val="0"/>
          <w:numId w:val="4"/>
        </w:numPr>
      </w:pPr>
      <w:r>
        <w:rPr>
          <w:b/>
        </w:rPr>
        <w:t>PMI 类指标：</w:t>
      </w:r>
      <w:r>
        <w:t xml:space="preserve"> 全球 / 国内统一采用官方季调后口径，与市场一致预期统计口径完全对齐；无季调数据仅作为补充参考，不纳入核心决策；</w:t>
      </w:r>
    </w:p>
    <w:p w14:paraId="06ABDE17">
      <w:pPr>
        <w:pStyle w:val="4"/>
        <w:numPr>
          <w:ilvl w:val="0"/>
          <w:numId w:val="4"/>
        </w:numPr>
      </w:pPr>
      <w:r>
        <w:rPr>
          <w:b/>
        </w:rPr>
        <w:t>同比类指标：</w:t>
      </w:r>
      <w:r>
        <w:t xml:space="preserve"> 除特殊说明外，均采用「季调后 3 个月移动平均」口径，规避基数效应和单月异常波动；拐点判断采用「当月同比值较上月同比值的环比变动」，统一时间维度，避免同比 / 环比混用；</w:t>
      </w:r>
    </w:p>
    <w:p w14:paraId="3985500F">
      <w:pPr>
        <w:pStyle w:val="4"/>
        <w:numPr>
          <w:ilvl w:val="0"/>
          <w:numId w:val="4"/>
        </w:numPr>
      </w:pPr>
      <w:r>
        <w:rPr>
          <w:b/>
        </w:rPr>
        <w:t>利率 / 汇率 / 波动率类指标：</w:t>
      </w:r>
      <w:r>
        <w:t xml:space="preserve"> 均采用「日度均值→月度滚动平均」口径，平滑日内异常波动；趋势判断以「连续 1 个月变动方向」为标准，不根据单日波动调整结论；</w:t>
      </w:r>
    </w:p>
    <w:p w14:paraId="5D6AB17F">
      <w:pPr>
        <w:pStyle w:val="4"/>
        <w:numPr>
          <w:ilvl w:val="0"/>
          <w:numId w:val="4"/>
        </w:numPr>
      </w:pPr>
      <w:r>
        <w:rPr>
          <w:b/>
        </w:rPr>
        <w:t>剪刀差 / 占比类指标：</w:t>
      </w:r>
      <w:r>
        <w:t xml:space="preserve"> 均采用「当月原始数据计算」，不做移动平均，确保信号时效性；</w:t>
      </w:r>
    </w:p>
    <w:p w14:paraId="706C763D">
      <w:pPr>
        <w:pStyle w:val="4"/>
        <w:numPr>
          <w:ilvl w:val="0"/>
          <w:numId w:val="4"/>
        </w:numPr>
      </w:pPr>
      <w:r>
        <w:rPr>
          <w:b/>
        </w:rPr>
        <w:t>数据修正规则：</w:t>
      </w:r>
      <w:r>
        <w:t xml:space="preserve"> 所有指标数据以官方最终修正版为准，仅修正未来的周期判断与信号输出，不追溯过往已发布的结论；</w:t>
      </w:r>
    </w:p>
    <w:p w14:paraId="01998BFE">
      <w:pPr>
        <w:pStyle w:val="4"/>
        <w:numPr>
          <w:ilvl w:val="0"/>
          <w:numId w:val="4"/>
        </w:numPr>
      </w:pPr>
      <w:r>
        <w:rPr>
          <w:b/>
        </w:rPr>
        <w:t>指标替代规则：</w:t>
      </w:r>
      <w:r>
        <w:t xml:space="preserve"> 核心指标缺失时，仅可使用同类型、同口径、同领先性的替代指标，且必须在数据清单中明确标注替代原因、替代周期，禁止使用无关指标替代；</w:t>
      </w:r>
    </w:p>
    <w:p w14:paraId="7A71E11B">
      <w:pPr>
        <w:pStyle w:val="4"/>
        <w:numPr>
          <w:ilvl w:val="0"/>
          <w:numId w:val="4"/>
        </w:numPr>
      </w:pPr>
      <w:r>
        <w:rPr>
          <w:b/>
        </w:rPr>
        <w:t>异常值处理规则：</w:t>
      </w:r>
      <w:r>
        <w:t xml:space="preserve"> 单月 / 单日指标出现异常跳升 / 跳落，不直接判定趋势反转，需等待连续 2 个月的同向数据确认，方可调整周期判断；</w:t>
      </w:r>
    </w:p>
    <w:p w14:paraId="6860CC17">
      <w:pPr>
        <w:pStyle w:val="4"/>
        <w:numPr>
          <w:ilvl w:val="0"/>
          <w:numId w:val="4"/>
        </w:numPr>
      </w:pPr>
      <w:r>
        <w:rPr>
          <w:b/>
        </w:rPr>
        <w:t>花旗经济意外指数量化阈值：</w:t>
      </w:r>
      <w:r>
        <w:t xml:space="preserve"> 指数数值以标准差（σ）为单位，量化判定规则如下：</w:t>
      </w:r>
    </w:p>
    <w:p w14:paraId="7AFF043E">
      <w:pPr>
        <w:pStyle w:val="4"/>
        <w:numPr>
          <w:ilvl w:val="1"/>
          <w:numId w:val="4"/>
        </w:numPr>
      </w:pPr>
      <w:r>
        <w:t xml:space="preserve">指数 &gt; </w:t>
      </w:r>
      <w:r>
        <w:rPr>
          <w:b/>
        </w:rPr>
        <w:t>+0.5σ</w:t>
      </w:r>
      <w:r>
        <w:t>：认定为</w:t>
      </w:r>
      <w:r>
        <w:rPr>
          <w:b/>
        </w:rPr>
        <w:t>正</w:t>
      </w:r>
      <w:r>
        <w:t>（数据超预期，+1 分）</w:t>
      </w:r>
    </w:p>
    <w:p w14:paraId="3021C3E9">
      <w:pPr>
        <w:pStyle w:val="4"/>
        <w:numPr>
          <w:ilvl w:val="1"/>
          <w:numId w:val="4"/>
        </w:numPr>
      </w:pPr>
      <w:r>
        <w:t xml:space="preserve">指数 &lt; </w:t>
      </w:r>
      <w:r>
        <w:rPr>
          <w:b/>
        </w:rPr>
        <w:t>-0.5σ</w:t>
      </w:r>
      <w:r>
        <w:t>：认定为</w:t>
      </w:r>
      <w:r>
        <w:rPr>
          <w:b/>
        </w:rPr>
        <w:t>负</w:t>
      </w:r>
      <w:r>
        <w:t>（数据不及预期，-1 分）</w:t>
      </w:r>
    </w:p>
    <w:p w14:paraId="19839B56">
      <w:pPr>
        <w:pStyle w:val="4"/>
        <w:numPr>
          <w:ilvl w:val="1"/>
          <w:numId w:val="4"/>
        </w:numPr>
      </w:pPr>
      <w:r>
        <w:t>之间（-0.5σ ~ +0.5σ）：认定为</w:t>
      </w:r>
      <w:r>
        <w:rPr>
          <w:b/>
        </w:rPr>
        <w:t>中性</w:t>
      </w:r>
      <w:r>
        <w:t>，不参与有效性加减分</w:t>
      </w:r>
    </w:p>
    <w:p w14:paraId="527F4346">
      <w:pPr>
        <w:pStyle w:val="4"/>
        <w:numPr>
          <w:ilvl w:val="0"/>
          <w:numId w:val="4"/>
        </w:numPr>
      </w:pPr>
      <w:r>
        <w:rPr>
          <w:b/>
        </w:rPr>
        <w:t>核心 CPI 温和区间量化：</w:t>
      </w:r>
      <w:r>
        <w:t xml:space="preserve"> 统一明确为 </w:t>
      </w:r>
      <w:r>
        <w:rPr>
          <w:b/>
        </w:rPr>
        <w:t>0.5% ~ 2.5%</w:t>
      </w:r>
      <w:r>
        <w:t>；低于 0.5% 为通缩压力区，高于 2.5% 为通胀压力区，均触发货币政策边际调整预判；</w:t>
      </w:r>
    </w:p>
    <w:p w14:paraId="012E1441">
      <w:pPr>
        <w:pStyle w:val="4"/>
        <w:numPr>
          <w:ilvl w:val="0"/>
          <w:numId w:val="4"/>
        </w:numPr>
      </w:pPr>
      <w:r>
        <w:rPr>
          <w:b/>
        </w:rPr>
        <w:t>「国内强政策对冲」量化标准：</w:t>
      </w:r>
      <w:r>
        <w:t xml:space="preserve"> 需同时满足以下至少 </w:t>
      </w:r>
      <w:r>
        <w:rPr>
          <w:b/>
        </w:rPr>
        <w:t>2 项</w:t>
      </w:r>
      <w:r>
        <w:t>，方可触发优先级调整（国内货币/增长模块优先级提升至与全球流动性模块持平）：</w:t>
      </w:r>
    </w:p>
    <w:p w14:paraId="310A8FBD">
      <w:pPr>
        <w:pStyle w:val="4"/>
        <w:numPr>
          <w:ilvl w:val="1"/>
          <w:numId w:val="4"/>
        </w:numPr>
      </w:pPr>
      <w:r>
        <w:t xml:space="preserve">财政政策：单次刺激规模 </w:t>
      </w:r>
      <w:r>
        <w:rPr>
          <w:b/>
        </w:rPr>
        <w:t>&gt; 1.5 万亿人民币</w:t>
      </w:r>
      <w:r>
        <w:t>（如特别国债、财政赤字率大幅提升）</w:t>
      </w:r>
    </w:p>
    <w:p w14:paraId="16FCC62A">
      <w:pPr>
        <w:pStyle w:val="4"/>
        <w:numPr>
          <w:ilvl w:val="1"/>
          <w:numId w:val="4"/>
        </w:numPr>
      </w:pPr>
      <w:r>
        <w:t xml:space="preserve">货币政策：降准幅度 </w:t>
      </w:r>
      <w:r>
        <w:rPr>
          <w:b/>
        </w:rPr>
        <w:t>&gt; 50BP</w:t>
      </w:r>
      <w:r>
        <w:t>，或降息幅度 &gt; 20BP（MLF/LPR 同步）</w:t>
      </w:r>
    </w:p>
    <w:p w14:paraId="1FF709CB">
      <w:pPr>
        <w:pStyle w:val="4"/>
        <w:numPr>
          <w:ilvl w:val="1"/>
          <w:numId w:val="4"/>
        </w:numPr>
      </w:pPr>
      <w:r>
        <w:t>科技/产业政策：</w:t>
      </w:r>
      <w:r>
        <w:rPr>
          <w:b/>
        </w:rPr>
        <w:t>同时出台 2 项以上</w:t>
      </w:r>
      <w:r>
        <w:t>重点产业支持政策（如 AI 算力补贴、半导体基金、新能源消纳保障）</w:t>
      </w:r>
    </w:p>
    <w:p w14:paraId="20E4A28C">
      <w:pPr>
        <w:pStyle w:val="4"/>
        <w:numPr>
          <w:ilvl w:val="0"/>
          <w:numId w:val="4"/>
        </w:numPr>
      </w:pPr>
      <w:r>
        <w:rPr>
          <w:b/>
        </w:rPr>
        <w:t>「幅度达标 ≥ 0.2 个百分点」口径明确：</w:t>
      </w:r>
      <w:r>
        <w:t xml:space="preserve"> 所有「单月变动幅度」均指</w:t>
      </w:r>
      <w:r>
        <w:rPr>
          <w:b/>
        </w:rPr>
        <w:t>季调后数据的环比变动</w:t>
      </w:r>
      <w:r>
        <w:t>（即当月季调后值减去上一月季调后值的绝对差值），未经季调的原始同比/环比变动不单独作为判定依据；</w:t>
      </w:r>
    </w:p>
    <w:p w14:paraId="32C33E68">
      <w:pPr>
        <w:pStyle w:val="4"/>
        <w:numPr>
          <w:ilvl w:val="0"/>
          <w:numId w:val="4"/>
        </w:numPr>
      </w:pPr>
      <w:r>
        <w:rPr>
          <w:b/>
        </w:rPr>
        <w:t>北向资金有效信号阈值：</w:t>
      </w:r>
      <w:r>
        <w:t xml:space="preserve"> 原规则「连续 2 周净流入/流出」易受短期噪音干扰，调整为：</w:t>
      </w:r>
      <w:r>
        <w:rPr>
          <w:b/>
        </w:rPr>
        <w:t>单月净流入 &gt; 200 亿认定有效净流入信号，单月净流出 &gt; 200 亿认定有效净流出信号</w:t>
      </w:r>
      <w:r>
        <w:t>，200 亿以内为中性，不单独作为周期判定依据。</w:t>
      </w:r>
    </w:p>
    <w:p w14:paraId="5A57157D">
      <w:pPr>
        <w:pBdr>
          <w:bottom w:val="single" w:color="auto" w:sz="8" w:space="0"/>
        </w:pBdr>
      </w:pPr>
    </w:p>
    <w:p w14:paraId="086247C5">
      <w:pPr>
        <w:pStyle w:val="6"/>
      </w:pPr>
      <w:r>
        <w:t>3.4 指标频率分层与跟踪规则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48C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B3EE04F">
            <w:pPr>
              <w:jc w:val="left"/>
            </w:pPr>
            <w:r>
              <w:t>跟踪频率</w:t>
            </w:r>
          </w:p>
        </w:tc>
        <w:tc>
          <w:tcPr>
            <w:tcW w:w="2076" w:type="dxa"/>
            <w:vAlign w:val="center"/>
          </w:tcPr>
          <w:p w14:paraId="03085FCA">
            <w:pPr>
              <w:jc w:val="left"/>
            </w:pPr>
            <w:r>
              <w:t>对应指标</w:t>
            </w:r>
          </w:p>
        </w:tc>
        <w:tc>
          <w:tcPr>
            <w:tcW w:w="2076" w:type="dxa"/>
            <w:vAlign w:val="center"/>
          </w:tcPr>
          <w:p w14:paraId="080067A4">
            <w:pPr>
              <w:jc w:val="left"/>
            </w:pPr>
            <w:r>
              <w:t>核心职责</w:t>
            </w:r>
          </w:p>
        </w:tc>
        <w:tc>
          <w:tcPr>
            <w:tcW w:w="2076" w:type="dxa"/>
            <w:vAlign w:val="center"/>
          </w:tcPr>
          <w:p w14:paraId="45E11049">
            <w:pPr>
              <w:jc w:val="left"/>
            </w:pPr>
            <w:r>
              <w:t>负责小组</w:t>
            </w:r>
          </w:p>
        </w:tc>
      </w:tr>
      <w:tr w14:paraId="7537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29D0C0C">
            <w:pPr>
              <w:jc w:val="left"/>
            </w:pPr>
            <w:r>
              <w:rPr>
                <w:b/>
              </w:rPr>
              <w:t>日频跟踪</w:t>
            </w:r>
          </w:p>
        </w:tc>
        <w:tc>
          <w:tcPr>
            <w:tcW w:w="2076" w:type="dxa"/>
            <w:vAlign w:val="center"/>
          </w:tcPr>
          <w:p w14:paraId="06687724">
            <w:pPr>
              <w:jc w:val="left"/>
            </w:pPr>
            <w:r>
              <w:t>DR007、10 年期国债 / 美债收益率、美元指数、VIX 指数、人民币汇率、美联储总资产、COMEX 黄金价格、</w:t>
            </w:r>
            <w:r>
              <w:rPr>
                <w:b/>
              </w:rPr>
              <w:t>沪深 300 股指期权 P/C 比率</w:t>
            </w:r>
          </w:p>
        </w:tc>
        <w:tc>
          <w:tcPr>
            <w:tcW w:w="2076" w:type="dxa"/>
            <w:vAlign w:val="center"/>
          </w:tcPr>
          <w:p w14:paraId="144D87C9">
            <w:pPr>
              <w:jc w:val="left"/>
            </w:pPr>
            <w:r>
              <w:t>跟踪全球与国内流动性的边际变化，预警极端异常波动</w:t>
            </w:r>
          </w:p>
        </w:tc>
        <w:tc>
          <w:tcPr>
            <w:tcW w:w="2076" w:type="dxa"/>
            <w:vAlign w:val="center"/>
          </w:tcPr>
          <w:p w14:paraId="218B046E">
            <w:pPr>
              <w:jc w:val="left"/>
            </w:pPr>
            <w:r>
              <w:t>国内货币通胀小组、海外宏观 &amp; 汇率小组</w:t>
            </w:r>
          </w:p>
        </w:tc>
      </w:tr>
      <w:tr w14:paraId="507A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D374C77">
            <w:pPr>
              <w:jc w:val="left"/>
            </w:pPr>
            <w:r>
              <w:rPr>
                <w:b/>
              </w:rPr>
              <w:t>周频跟踪</w:t>
            </w:r>
          </w:p>
        </w:tc>
        <w:tc>
          <w:tcPr>
            <w:tcW w:w="2076" w:type="dxa"/>
            <w:vAlign w:val="center"/>
          </w:tcPr>
          <w:p w14:paraId="632EC660">
            <w:pPr>
              <w:jc w:val="left"/>
            </w:pPr>
            <w:r>
              <w:t>社会消费品零售、花旗经济意外指数（中美）、北向资金、融资融券余额、股指期货升贴水、</w:t>
            </w:r>
            <w:r>
              <w:rPr>
                <w:b/>
              </w:rPr>
              <w:t>高频工业用电量</w:t>
            </w:r>
            <w:r>
              <w:t>、</w:t>
            </w:r>
            <w:r>
              <w:rPr>
                <w:b/>
              </w:rPr>
              <w:t>整车货运流量指数</w:t>
            </w:r>
            <w:r>
              <w:t>、</w:t>
            </w:r>
            <w:r>
              <w:rPr>
                <w:b/>
              </w:rPr>
              <w:t>10 年期国债期货持仓量变化</w:t>
            </w:r>
          </w:p>
        </w:tc>
        <w:tc>
          <w:tcPr>
            <w:tcW w:w="2076" w:type="dxa"/>
            <w:vAlign w:val="center"/>
          </w:tcPr>
          <w:p w14:paraId="4E368517">
            <w:pPr>
              <w:jc w:val="left"/>
            </w:pPr>
            <w:r>
              <w:t>跟踪增长与流动性的周度边际变化，提前预判月度数据趋势</w:t>
            </w:r>
          </w:p>
        </w:tc>
        <w:tc>
          <w:tcPr>
            <w:tcW w:w="2076" w:type="dxa"/>
            <w:vAlign w:val="center"/>
          </w:tcPr>
          <w:p w14:paraId="3581F67F">
            <w:pPr>
              <w:jc w:val="left"/>
            </w:pPr>
            <w:r>
              <w:t>国内增长小组、海外宏观 &amp; 汇率小组</w:t>
            </w:r>
          </w:p>
        </w:tc>
      </w:tr>
      <w:tr w14:paraId="5F5C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BDC80F8">
            <w:pPr>
              <w:jc w:val="left"/>
            </w:pPr>
            <w:r>
              <w:rPr>
                <w:b/>
              </w:rPr>
              <w:t>月频跟踪</w:t>
            </w:r>
          </w:p>
        </w:tc>
        <w:tc>
          <w:tcPr>
            <w:tcW w:w="2076" w:type="dxa"/>
            <w:vAlign w:val="center"/>
          </w:tcPr>
          <w:p w14:paraId="5EA50FC0">
            <w:pPr>
              <w:jc w:val="left"/>
            </w:pPr>
            <w:r>
              <w:t>全量核心月度指标（PMI、社融、信贷、CPI、PCE、进出口等）、</w:t>
            </w:r>
            <w:r>
              <w:rPr>
                <w:b/>
              </w:rPr>
              <w:t>政策预期打分卡</w:t>
            </w:r>
          </w:p>
        </w:tc>
        <w:tc>
          <w:tcPr>
            <w:tcW w:w="2076" w:type="dxa"/>
            <w:vAlign w:val="center"/>
          </w:tcPr>
          <w:p w14:paraId="51A4E891">
            <w:pPr>
              <w:jc w:val="left"/>
            </w:pPr>
            <w:r>
              <w:t>月度周期定位、信号输出的核心依据</w:t>
            </w:r>
          </w:p>
        </w:tc>
        <w:tc>
          <w:tcPr>
            <w:tcW w:w="2076" w:type="dxa"/>
            <w:vAlign w:val="center"/>
          </w:tcPr>
          <w:p w14:paraId="7806EC22">
            <w:pPr>
              <w:jc w:val="left"/>
            </w:pPr>
            <w:r>
              <w:t>全模块对应小组</w:t>
            </w:r>
          </w:p>
        </w:tc>
      </w:tr>
      <w:tr w14:paraId="24A0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78F8A78">
            <w:pPr>
              <w:jc w:val="left"/>
            </w:pPr>
            <w:r>
              <w:rPr>
                <w:b/>
              </w:rPr>
              <w:t>季频跟踪</w:t>
            </w:r>
          </w:p>
        </w:tc>
        <w:tc>
          <w:tcPr>
            <w:tcW w:w="2076" w:type="dxa"/>
            <w:vAlign w:val="center"/>
          </w:tcPr>
          <w:p w14:paraId="6ACD9D5F">
            <w:pPr>
              <w:jc w:val="left"/>
            </w:pPr>
            <w:r>
              <w:t>工业企业产能利用率、宏观杠杆率、债务增速</w:t>
            </w:r>
          </w:p>
        </w:tc>
        <w:tc>
          <w:tcPr>
            <w:tcW w:w="2076" w:type="dxa"/>
            <w:vAlign w:val="center"/>
          </w:tcPr>
          <w:p w14:paraId="0E4AFDF2">
            <w:pPr>
              <w:jc w:val="left"/>
            </w:pPr>
            <w:r>
              <w:t>长 / 中周期定位的验证依据，不用于短期决策</w:t>
            </w:r>
          </w:p>
        </w:tc>
        <w:tc>
          <w:tcPr>
            <w:tcW w:w="2076" w:type="dxa"/>
            <w:vAlign w:val="center"/>
          </w:tcPr>
          <w:p w14:paraId="1E883CDD">
            <w:pPr>
              <w:jc w:val="left"/>
            </w:pPr>
            <w:r>
              <w:t>大周期融合小组</w:t>
            </w:r>
          </w:p>
        </w:tc>
      </w:tr>
    </w:tbl>
    <w:p w14:paraId="5DD196E5">
      <w:pPr>
        <w:pBdr>
          <w:bottom w:val="single" w:color="auto" w:sz="8" w:space="0"/>
        </w:pBdr>
      </w:pPr>
    </w:p>
    <w:p w14:paraId="39B92A6B">
      <w:pPr>
        <w:pStyle w:val="6"/>
      </w:pPr>
      <w:r>
        <w:t>3.5 指标有效性回测与迭代规则</w:t>
      </w:r>
    </w:p>
    <w:p w14:paraId="4E505ACB">
      <w:pPr>
        <w:pStyle w:val="4"/>
        <w:numPr>
          <w:ilvl w:val="0"/>
          <w:numId w:val="5"/>
        </w:numPr>
      </w:pPr>
      <w:r>
        <w:rPr>
          <w:b/>
        </w:rPr>
        <w:t>半年度全量回测：</w:t>
      </w:r>
      <w:r>
        <w:t xml:space="preserve"> Skill 输出小组每半年对所有核心指标的领先性、相关性、胜率进行全历史回测，剔除胜率低于 </w:t>
      </w:r>
      <w:r>
        <w:rPr>
          <w:b/>
        </w:rPr>
        <w:t>60%</w:t>
      </w:r>
      <w:r>
        <w:t xml:space="preserve"> 的弱有效指标，补充高胜率有效指标；</w:t>
      </w:r>
    </w:p>
    <w:p w14:paraId="6EC84C3E">
      <w:pPr>
        <w:pStyle w:val="4"/>
        <w:numPr>
          <w:ilvl w:val="0"/>
          <w:numId w:val="5"/>
        </w:numPr>
      </w:pPr>
      <w:r>
        <w:rPr>
          <w:b/>
        </w:rPr>
        <w:t>季度优化校准：</w:t>
      </w:r>
      <w:r>
        <w:t xml:space="preserve"> 大周期融合小组每季度根据复盘结果，对指标阈值、口径进行校准，校准方案需经过回测验证、全组评审后方可更新；</w:t>
      </w:r>
    </w:p>
    <w:p w14:paraId="5992447A">
      <w:pPr>
        <w:pStyle w:val="4"/>
        <w:numPr>
          <w:ilvl w:val="0"/>
          <w:numId w:val="5"/>
        </w:numPr>
      </w:pPr>
      <w:r>
        <w:rPr>
          <w:b/>
        </w:rPr>
        <w:t>核心指标锁定规则：</w:t>
      </w:r>
      <w:r>
        <w:t xml:space="preserve"> 四大模块的 TOP3 核心指标（美联储政策利率、美债收益率、国内 PMI、社融、DR007、10 年期国债收益率）不得随意替换，仅可优化口径与阈值；</w:t>
      </w:r>
    </w:p>
    <w:p w14:paraId="0372F9CE">
      <w:pPr>
        <w:pStyle w:val="4"/>
        <w:numPr>
          <w:ilvl w:val="0"/>
          <w:numId w:val="5"/>
        </w:numPr>
      </w:pPr>
      <w:r>
        <w:rPr>
          <w:b/>
        </w:rPr>
        <w:t>新增指标准入规则：</w:t>
      </w:r>
      <w:r>
        <w:t xml:space="preserve"> 新增指标必须满足「3.1 选取原则」，且经过 </w:t>
      </w:r>
      <w:r>
        <w:rPr>
          <w:b/>
        </w:rPr>
        <w:t>10 年以上</w:t>
      </w:r>
      <w:r>
        <w:t xml:space="preserve">历史数据回测，胜率 ≥ </w:t>
      </w:r>
      <w:r>
        <w:rPr>
          <w:b/>
        </w:rPr>
        <w:t>65%</w:t>
      </w:r>
      <w:r>
        <w:t>，方可纳入标准化指标清单；</w:t>
      </w:r>
    </w:p>
    <w:p w14:paraId="3FD5F2FB">
      <w:pPr>
        <w:pStyle w:val="4"/>
        <w:numPr>
          <w:ilvl w:val="0"/>
          <w:numId w:val="5"/>
        </w:numPr>
      </w:pPr>
      <w:r>
        <w:rPr>
          <w:b/>
        </w:rPr>
        <w:t>框架版本触发规则：</w:t>
      </w:r>
      <w:r>
        <w:t xml:space="preserve"> 见第六章「框架版本管理机制」。</w:t>
      </w:r>
    </w:p>
    <w:p w14:paraId="22E004DE">
      <w:pPr>
        <w:pStyle w:val="4"/>
        <w:numPr>
          <w:ilvl w:val="0"/>
          <w:numId w:val="5"/>
        </w:numPr>
      </w:pPr>
      <w:r>
        <w:rPr>
          <w:b/>
        </w:rPr>
        <w:t>假设注册-追踪-验证机制：</w:t>
      </w:r>
      <w:r>
        <w:t xml:space="preserve"> 面对历史上真正带来巨大超额收益的机会往往来自"新逻辑"而非旧指标优化的事实，框架设立"观察池"通道，允许未满足回测门槛的新逻辑/新指标进入追踪体系：</w:t>
      </w:r>
    </w:p>
    <w:p w14:paraId="55C66859">
      <w:pPr>
        <w:pStyle w:val="4"/>
        <w:numPr>
          <w:ilvl w:val="1"/>
          <w:numId w:val="5"/>
        </w:numPr>
      </w:pPr>
      <w:r>
        <w:rPr>
          <w:b/>
        </w:rPr>
        <w:t>假设注册阶段：</w:t>
      </w:r>
      <w:r>
        <w:t xml:space="preserve"> 新逻辑/新指标进入"观察池"，标注逻辑路径、预期信号方向、验证条件，</w:t>
      </w:r>
      <w:r>
        <w:rPr>
          <w:b/>
        </w:rPr>
        <w:t>不参与任何权重计算</w:t>
      </w:r>
      <w:r>
        <w:t>（资金仓位 0%）</w:t>
      </w:r>
    </w:p>
    <w:p w14:paraId="227F799A">
      <w:pPr>
        <w:pStyle w:val="4"/>
        <w:numPr>
          <w:ilvl w:val="1"/>
          <w:numId w:val="5"/>
        </w:numPr>
      </w:pPr>
      <w:r>
        <w:rPr>
          <w:b/>
        </w:rPr>
        <w:t>信号追踪阶段：</w:t>
      </w:r>
      <w:r>
        <w:t xml:space="preserve"> 追踪该假设在后续 6-12 个月的实际表现（方向命中率、预期差大小），与正式指标平行运行但不交叉影响</w:t>
      </w:r>
    </w:p>
    <w:p w14:paraId="2585899A">
      <w:pPr>
        <w:pStyle w:val="4"/>
        <w:numPr>
          <w:ilvl w:val="1"/>
          <w:numId w:val="5"/>
        </w:numPr>
      </w:pPr>
      <w:r>
        <w:rPr>
          <w:b/>
        </w:rPr>
        <w:t>验证升级阶段：</w:t>
      </w:r>
      <w:r>
        <w:t xml:space="preserve"> 追踪期结束后统计胜率，若 ≥ 60% 且逻辑路径清晰 → 按正式指标准入规则纳入指标体系；若 &lt; 60% → 从观察池移除并记录失败原因</w:t>
      </w:r>
    </w:p>
    <w:p w14:paraId="7B725204">
      <w:pPr>
        <w:pStyle w:val="4"/>
        <w:numPr>
          <w:ilvl w:val="1"/>
          <w:numId w:val="5"/>
        </w:numPr>
      </w:pPr>
      <w:r>
        <w:rPr>
          <w:b/>
        </w:rPr>
        <w:t>观察池上限：</w:t>
      </w:r>
      <w:r>
        <w:t xml:space="preserve"> 同时追踪的假设不超过 </w:t>
      </w:r>
      <w:r>
        <w:rPr>
          <w:b/>
        </w:rPr>
        <w:t>5 个</w:t>
      </w:r>
      <w:r>
        <w:t>，避免观察池泛滥侵蚀框架纪律</w:t>
      </w:r>
    </w:p>
    <w:p w14:paraId="78E2B7D5">
      <w:pPr>
        <w:pStyle w:val="4"/>
        <w:numPr>
          <w:ilvl w:val="1"/>
          <w:numId w:val="5"/>
        </w:numPr>
      </w:pPr>
      <w:r>
        <w:rPr>
          <w:b/>
        </w:rPr>
        <w:t>禁止事项：</w:t>
      </w:r>
      <w:r>
        <w:t xml:space="preserve"> 观察池假设不得以任何形式（包括"探索性仓位"）参与实际资金配置</w:t>
      </w:r>
    </w:p>
    <w:p w14:paraId="7E97FDBF">
      <w:pPr>
        <w:pBdr>
          <w:bottom w:val="single" w:color="auto" w:sz="8" w:space="0"/>
        </w:pBdr>
      </w:pPr>
    </w:p>
    <w:p w14:paraId="61EBEE66">
      <w:pPr>
        <w:pBdr>
          <w:bottom w:val="single" w:color="auto" w:sz="8" w:space="0"/>
        </w:pBdr>
      </w:pPr>
    </w:p>
    <w:p w14:paraId="72B1D244">
      <w:pPr>
        <w:pStyle w:val="10"/>
      </w:pPr>
      <w:r>
        <w:t>四、7 层流水线标准化执行流程</w:t>
      </w:r>
    </w:p>
    <w:p w14:paraId="7C9C19F1">
      <w:pPr>
        <w:pStyle w:val="6"/>
      </w:pPr>
      <w:r>
        <w:t>4.1 核心思维路径</w:t>
      </w:r>
    </w:p>
    <w:p w14:paraId="3BA86923">
      <w:pPr>
        <w:pStyle w:val="4"/>
      </w:pPr>
      <w:r>
        <w:t>基于六大底层公理，严格遵循「从顶层到底层、从全球到国内、从状态识别到预期差信号、从信号可靠性检验到 Alpha 偏离、从 Beta 基准到 Alpha 偏离」的分层路径：</w:t>
      </w:r>
    </w:p>
    <w:p w14:paraId="6BDA69D8">
      <w:pPr>
        <w:pStyle w:val="4"/>
        <w:numPr>
          <w:ilvl w:val="0"/>
          <w:numId w:val="6"/>
        </w:numPr>
      </w:pPr>
      <w:r>
        <w:rPr>
          <w:b/>
        </w:rPr>
        <w:t>先做双经济体追踪：</w:t>
      </w:r>
      <w:r>
        <w:t xml:space="preserve"> 同时追踪中美两国 5 维度指标（Layer 0），捕捉跨国信号与交互通道触发状态</w:t>
      </w:r>
    </w:p>
    <w:p w14:paraId="416E7930">
      <w:pPr>
        <w:pStyle w:val="4"/>
        <w:numPr>
          <w:ilvl w:val="0"/>
          <w:numId w:val="6"/>
        </w:numPr>
      </w:pPr>
      <w:r>
        <w:rPr>
          <w:b/>
        </w:rPr>
        <w:t>再做状态识别：</w:t>
      </w:r>
      <w:r>
        <w:t xml:space="preserve"> 通过 CAI/FCI 合成指标判断中美增长与金融条件的实际状态（Layer 1）</w:t>
      </w:r>
    </w:p>
    <w:p w14:paraId="27A045A5">
      <w:pPr>
        <w:pStyle w:val="4"/>
        <w:numPr>
          <w:ilvl w:val="0"/>
          <w:numId w:val="6"/>
        </w:numPr>
      </w:pPr>
      <w:r>
        <w:rPr>
          <w:b/>
        </w:rPr>
        <w:t>再做周期定位：</w:t>
      </w:r>
      <w:r>
        <w:t xml:space="preserve"> 基于增长×通胀 4 象限模型+政策维度调节+长期债务周期战略偏置，锁定周期位置（Layer 2）</w:t>
      </w:r>
    </w:p>
    <w:p w14:paraId="621D67BC">
      <w:pPr>
        <w:pStyle w:val="4"/>
        <w:numPr>
          <w:ilvl w:val="0"/>
          <w:numId w:val="6"/>
        </w:numPr>
      </w:pPr>
      <w:r>
        <w:rPr>
          <w:b/>
        </w:rPr>
        <w:t>再做枢纽变量分析：</w:t>
      </w:r>
      <w:r>
        <w:t xml:space="preserve"> 通过汇率、大宗商品、商品-汇率-利率三角，判断全球宏观背景（Layer 2.5）</w:t>
      </w:r>
    </w:p>
    <w:p w14:paraId="6C1158FC">
      <w:pPr>
        <w:pStyle w:val="4"/>
        <w:numPr>
          <w:ilvl w:val="0"/>
          <w:numId w:val="6"/>
        </w:numPr>
      </w:pPr>
      <w:r>
        <w:rPr>
          <w:b/>
        </w:rPr>
        <w:t>再做市场定价提取：</w:t>
      </w:r>
      <w:r>
        <w:t xml:space="preserve"> 从 5 类市场价格反推市场已定价了什么，与实际状态形成对照（Layer 3）</w:t>
      </w:r>
    </w:p>
    <w:p w14:paraId="3CD8FBD2">
      <w:pPr>
        <w:pStyle w:val="4"/>
        <w:numPr>
          <w:ilvl w:val="0"/>
          <w:numId w:val="6"/>
        </w:numPr>
      </w:pPr>
      <w:r>
        <w:rPr>
          <w:b/>
        </w:rPr>
        <w:t>再做预期差信号：</w:t>
      </w:r>
      <w:r>
        <w:t xml:space="preserve"> 实际状态 vs 市场定价的差值，生成三类预期差信号（Layer 4）</w:t>
      </w:r>
    </w:p>
    <w:p w14:paraId="582F055A">
      <w:pPr>
        <w:pStyle w:val="4"/>
        <w:numPr>
          <w:ilvl w:val="0"/>
          <w:numId w:val="6"/>
        </w:numPr>
      </w:pPr>
      <w:r>
        <w:rPr>
          <w:b/>
        </w:rPr>
        <w:t>再做信号可靠性检验：</w:t>
      </w:r>
      <w:r>
        <w:t xml:space="preserve"> 反身性压力计 + 逻辑生命周期修正 + 范式稳定性监测，修正信号强度（Layer 4.5）</w:t>
      </w:r>
    </w:p>
    <w:p w14:paraId="2F96B3FA">
      <w:pPr>
        <w:pStyle w:val="4"/>
        <w:numPr>
          <w:ilvl w:val="0"/>
          <w:numId w:val="6"/>
        </w:numPr>
      </w:pPr>
      <w:r>
        <w:rPr>
          <w:b/>
        </w:rPr>
        <w:t>最终映射资产配置：</w:t>
      </w:r>
      <w:r>
        <w:t xml:space="preserve"> Beta 基准 + Alpha 偏离的双层架构，输出最终权重（Layer 5）</w:t>
      </w:r>
    </w:p>
    <w:p w14:paraId="02A70453">
      <w:pPr>
        <w:pBdr>
          <w:bottom w:val="single" w:color="auto" w:sz="8" w:space="0"/>
        </w:pBdr>
      </w:pPr>
    </w:p>
    <w:p w14:paraId="429DF7CD">
      <w:pPr>
        <w:pStyle w:val="6"/>
      </w:pPr>
      <w:r>
        <w:t>4.2 周期拐点确认规则</w:t>
      </w:r>
    </w:p>
    <w:p w14:paraId="31E864A1">
      <w:pPr>
        <w:pStyle w:val="7"/>
      </w:pPr>
      <w:r>
        <w:t>4.2.1 核心定位</w:t>
      </w:r>
    </w:p>
    <w:p w14:paraId="58EFA71B">
      <w:pPr>
        <w:pStyle w:val="4"/>
      </w:pPr>
      <w:r>
        <w:t>本章为宏观周期拐点的</w:t>
      </w:r>
      <w:r>
        <w:rPr>
          <w:b/>
        </w:rPr>
        <w:t>量化确认工具</w:t>
      </w:r>
      <w:r>
        <w:t>，唯一作用是回答"周期拐点是否成立"。4.2 不独立输出周期定性标签，而是为 Layer 2 的四象限定位提供拐点确认依据——当 Layer 2 四象限出现象限切换信号时，必须通过 4.2 的拐点确认标准方可正式判定切换成立，禁止跳过本章直接判定周期。</w:t>
      </w:r>
    </w:p>
    <w:p w14:paraId="7990088B">
      <w:pPr>
        <w:pBdr>
          <w:bottom w:val="single" w:color="auto" w:sz="8" w:space="0"/>
        </w:pBdr>
      </w:pPr>
    </w:p>
    <w:p w14:paraId="51CB1FE1">
      <w:pPr>
        <w:pStyle w:val="7"/>
      </w:pPr>
      <w:r>
        <w:t>4.2.2 标准六阶段固定循环</w:t>
      </w:r>
    </w:p>
    <w:p w14:paraId="45937A92">
      <w:pPr>
        <w:pStyle w:val="4"/>
      </w:pPr>
      <w:r>
        <w:t>周期按以下顺序循环运行，受外生冲击可能出现阶段跳跃，但阶段命名与判定标准不变：</w:t>
      </w:r>
    </w:p>
    <w:p w14:paraId="3713F59E">
      <w:pPr>
        <w:pStyle w:val="4"/>
      </w:pPr>
      <w:r>
        <w:rPr>
          <w:b/>
        </w:rPr>
        <w:t>衰退 → 复苏 → 扩张 → 过热 → 放缓 → 衰退</w:t>
      </w:r>
    </w:p>
    <w:p w14:paraId="07DE6AE0">
      <w:pPr>
        <w:pBdr>
          <w:bottom w:val="single" w:color="auto" w:sz="8" w:space="0"/>
        </w:pBdr>
      </w:pPr>
    </w:p>
    <w:p w14:paraId="5A6F232C">
      <w:pPr>
        <w:pStyle w:val="7"/>
      </w:pPr>
      <w:r>
        <w:t>4.2.3 拐点统一确认硬性规则</w:t>
      </w:r>
    </w:p>
    <w:p w14:paraId="2086E92B">
      <w:pPr>
        <w:pStyle w:val="4"/>
      </w:pPr>
      <w:r>
        <w:t>周期拐点的确认，必须同时满足以下三大条件，缺一不可；滞后指标仅做交叉验证，不单独用于拐点判定：</w:t>
      </w:r>
    </w:p>
    <w:p w14:paraId="6153D382">
      <w:pPr>
        <w:pStyle w:val="4"/>
        <w:numPr>
          <w:ilvl w:val="0"/>
          <w:numId w:val="7"/>
        </w:numPr>
      </w:pPr>
      <w:r>
        <w:rPr>
          <w:b/>
        </w:rPr>
        <w:t>双指标共振：</w:t>
      </w:r>
      <w:r>
        <w:t xml:space="preserve"> 选取对应拐点的核心领先指标（至少 2 个），不得用单一指标判定；</w:t>
      </w:r>
    </w:p>
    <w:p w14:paraId="0B5CFB9C">
      <w:pPr>
        <w:pStyle w:val="4"/>
        <w:numPr>
          <w:ilvl w:val="0"/>
          <w:numId w:val="7"/>
        </w:numPr>
      </w:pPr>
      <w:r>
        <w:rPr>
          <w:b/>
        </w:rPr>
        <w:t>连续同向：</w:t>
      </w:r>
      <w:r>
        <w:t xml:space="preserve"> 核心指标连续 </w:t>
      </w:r>
      <w:r>
        <w:rPr>
          <w:b/>
        </w:rPr>
        <w:t>2 个月</w:t>
      </w:r>
      <w:r>
        <w:t>呈现同向变动（回升 / 下行）；</w:t>
      </w:r>
    </w:p>
    <w:p w14:paraId="52F647D2">
      <w:pPr>
        <w:pStyle w:val="4"/>
        <w:numPr>
          <w:ilvl w:val="0"/>
          <w:numId w:val="7"/>
        </w:numPr>
      </w:pPr>
      <w:r>
        <w:rPr>
          <w:b/>
        </w:rPr>
        <w:t>幅度达标：</w:t>
      </w:r>
      <w:r>
        <w:t xml:space="preserve"> 单月变动幅度 ≥ </w:t>
      </w:r>
      <w:r>
        <w:rPr>
          <w:b/>
        </w:rPr>
        <w:t>0.2 个百分点</w:t>
      </w:r>
      <w:r>
        <w:t>（季调后数据的环比变动，详见 3.3 第 11 条）。</w:t>
      </w:r>
    </w:p>
    <w:p w14:paraId="2ECBD2F7">
      <w:pPr>
        <w:pBdr>
          <w:bottom w:val="single" w:color="auto" w:sz="8" w:space="0"/>
        </w:pBdr>
      </w:pPr>
    </w:p>
    <w:p w14:paraId="434B81FE">
      <w:pPr>
        <w:pStyle w:val="7"/>
      </w:pPr>
      <w:r>
        <w:t>4.2.4 六阶段拐点量化判定标准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73C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7C01484">
            <w:pPr>
              <w:jc w:val="left"/>
            </w:pPr>
            <w:r>
              <w:t>周期拐点类型</w:t>
            </w:r>
          </w:p>
        </w:tc>
        <w:tc>
          <w:tcPr>
            <w:tcW w:w="2076" w:type="dxa"/>
            <w:vAlign w:val="center"/>
          </w:tcPr>
          <w:p w14:paraId="4605029C">
            <w:pPr>
              <w:jc w:val="left"/>
            </w:pPr>
            <w:r>
              <w:t>核心确认指标（至少选取 2 个）</w:t>
            </w:r>
          </w:p>
        </w:tc>
        <w:tc>
          <w:tcPr>
            <w:tcW w:w="2076" w:type="dxa"/>
            <w:vAlign w:val="center"/>
          </w:tcPr>
          <w:p w14:paraId="75FC9467">
            <w:pPr>
              <w:jc w:val="left"/>
            </w:pPr>
            <w:r>
              <w:t>量化确认条件</w:t>
            </w:r>
          </w:p>
        </w:tc>
        <w:tc>
          <w:tcPr>
            <w:tcW w:w="2076" w:type="dxa"/>
            <w:vAlign w:val="center"/>
          </w:tcPr>
          <w:p w14:paraId="6986DA69">
            <w:pPr>
              <w:jc w:val="left"/>
            </w:pPr>
            <w:r>
              <w:t>交叉验证强制要求</w:t>
            </w:r>
          </w:p>
        </w:tc>
      </w:tr>
      <w:tr w14:paraId="1E68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DF4569F">
            <w:pPr>
              <w:jc w:val="left"/>
            </w:pPr>
            <w:r>
              <w:rPr>
                <w:b/>
              </w:rPr>
              <w:t>衰退→复苏（底部拐点）</w:t>
            </w:r>
          </w:p>
        </w:tc>
        <w:tc>
          <w:tcPr>
            <w:tcW w:w="2076" w:type="dxa"/>
            <w:vAlign w:val="center"/>
          </w:tcPr>
          <w:p w14:paraId="0A8FD220">
            <w:pPr>
              <w:jc w:val="left"/>
            </w:pPr>
            <w:r>
              <w:t>1. 制造业 PMI 新订单分项</w:t>
            </w:r>
            <w:r>
              <w:br w:type="textWrapping"/>
            </w:r>
            <w:r>
              <w:t>2. 企业中长期贷款同比</w:t>
            </w:r>
            <w:r>
              <w:br w:type="textWrapping"/>
            </w:r>
            <w:r>
              <w:t>3. 社融存量同比</w:t>
            </w:r>
          </w:p>
        </w:tc>
        <w:tc>
          <w:tcPr>
            <w:tcW w:w="2076" w:type="dxa"/>
            <w:vAlign w:val="center"/>
          </w:tcPr>
          <w:p w14:paraId="37207B72">
            <w:pPr>
              <w:jc w:val="left"/>
            </w:pPr>
            <w:r>
              <w:t>任意 2 个指标连续 2 个月环比回升，且单月回升幅度 ≥ 0.2 个百分点</w:t>
            </w:r>
          </w:p>
        </w:tc>
        <w:tc>
          <w:tcPr>
            <w:tcW w:w="2076" w:type="dxa"/>
            <w:vAlign w:val="center"/>
          </w:tcPr>
          <w:p w14:paraId="155231D3">
            <w:pPr>
              <w:jc w:val="left"/>
            </w:pPr>
            <w:r>
              <w:t>花旗中国经济意外指数连续 2 个月为正，北向资金连续 2 周净流入</w:t>
            </w:r>
          </w:p>
        </w:tc>
      </w:tr>
      <w:tr w14:paraId="1E7F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849EE91">
            <w:pPr>
              <w:jc w:val="left"/>
            </w:pPr>
            <w:r>
              <w:rPr>
                <w:b/>
              </w:rPr>
              <w:t>复苏→扩张（上行拐点）</w:t>
            </w:r>
          </w:p>
        </w:tc>
        <w:tc>
          <w:tcPr>
            <w:tcW w:w="2076" w:type="dxa"/>
            <w:vAlign w:val="center"/>
          </w:tcPr>
          <w:p w14:paraId="18C4ED5A">
            <w:pPr>
              <w:jc w:val="left"/>
            </w:pPr>
            <w:r>
              <w:t>1. 工业企业产能利用率</w:t>
            </w:r>
            <w:r>
              <w:br w:type="textWrapping"/>
            </w:r>
            <w:r>
              <w:t>2. 制造业 PMI 生产分项</w:t>
            </w:r>
            <w:r>
              <w:br w:type="textWrapping"/>
            </w:r>
            <w:r>
              <w:t>3. 核心 CPI 同比</w:t>
            </w:r>
          </w:p>
        </w:tc>
        <w:tc>
          <w:tcPr>
            <w:tcW w:w="2076" w:type="dxa"/>
            <w:vAlign w:val="center"/>
          </w:tcPr>
          <w:p w14:paraId="50D1C9C9">
            <w:pPr>
              <w:jc w:val="left"/>
            </w:pPr>
            <w:r>
              <w:t xml:space="preserve">任意 2 个指标连续 2 个月环比回升，工业企业产能利用率回升至 </w:t>
            </w:r>
            <w:r>
              <w:rPr>
                <w:b/>
              </w:rPr>
              <w:t>75%（历史中枢）</w:t>
            </w:r>
            <w:r>
              <w:t xml:space="preserve"> 以上</w:t>
            </w:r>
          </w:p>
        </w:tc>
        <w:tc>
          <w:tcPr>
            <w:tcW w:w="2076" w:type="dxa"/>
            <w:vAlign w:val="center"/>
          </w:tcPr>
          <w:p w14:paraId="5A775FC2">
            <w:pPr>
              <w:jc w:val="left"/>
            </w:pPr>
            <w:r>
              <w:t>社融存量同比连续 3 个月上行，企业中长期贷款占比持续高于 60%</w:t>
            </w:r>
          </w:p>
        </w:tc>
      </w:tr>
      <w:tr w14:paraId="7B71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1CC5DED">
            <w:pPr>
              <w:jc w:val="left"/>
            </w:pPr>
            <w:r>
              <w:rPr>
                <w:b/>
              </w:rPr>
              <w:t>扩张→过热（顶部拐点）</w:t>
            </w:r>
          </w:p>
        </w:tc>
        <w:tc>
          <w:tcPr>
            <w:tcW w:w="2076" w:type="dxa"/>
            <w:vAlign w:val="center"/>
          </w:tcPr>
          <w:p w14:paraId="64EDF4EB">
            <w:pPr>
              <w:jc w:val="left"/>
            </w:pPr>
            <w:r>
              <w:t>1. 核心 CPI 同比</w:t>
            </w:r>
            <w:r>
              <w:br w:type="textWrapping"/>
            </w:r>
            <w:r>
              <w:t>2. 10 年期国债收益率</w:t>
            </w:r>
            <w:r>
              <w:br w:type="textWrapping"/>
            </w:r>
            <w:r>
              <w:t>3. 制造业 PMI 原材料购进价格分项</w:t>
            </w:r>
          </w:p>
        </w:tc>
        <w:tc>
          <w:tcPr>
            <w:tcW w:w="2076" w:type="dxa"/>
            <w:vAlign w:val="center"/>
          </w:tcPr>
          <w:p w14:paraId="300C5B9F">
            <w:pPr>
              <w:jc w:val="left"/>
            </w:pPr>
            <w:r>
              <w:t xml:space="preserve">任意 2 个指标连续 2 个月环比上行，核心 CPI 同比突破 </w:t>
            </w:r>
            <w:r>
              <w:rPr>
                <w:b/>
              </w:rPr>
              <w:t>2.5%</w:t>
            </w:r>
          </w:p>
        </w:tc>
        <w:tc>
          <w:tcPr>
            <w:tcW w:w="2076" w:type="dxa"/>
            <w:vAlign w:val="center"/>
          </w:tcPr>
          <w:p w14:paraId="3CF9A645">
            <w:pPr>
              <w:jc w:val="left"/>
            </w:pPr>
            <w:r>
              <w:t>央行出现边际收紧操作，DR007 持续回升至政策利率上方</w:t>
            </w:r>
          </w:p>
        </w:tc>
      </w:tr>
      <w:tr w14:paraId="5B66E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875643F">
            <w:pPr>
              <w:jc w:val="left"/>
            </w:pPr>
            <w:r>
              <w:rPr>
                <w:b/>
              </w:rPr>
              <w:t>过热→放缓（下行拐点）</w:t>
            </w:r>
          </w:p>
        </w:tc>
        <w:tc>
          <w:tcPr>
            <w:tcW w:w="2076" w:type="dxa"/>
            <w:vAlign w:val="center"/>
          </w:tcPr>
          <w:p w14:paraId="45D60003">
            <w:pPr>
              <w:jc w:val="left"/>
            </w:pPr>
            <w:r>
              <w:t>1. 制造业 PMI 新订单分项</w:t>
            </w:r>
            <w:r>
              <w:br w:type="textWrapping"/>
            </w:r>
            <w:r>
              <w:t>2. 社融存量同比</w:t>
            </w:r>
            <w:r>
              <w:br w:type="textWrapping"/>
            </w:r>
            <w:r>
              <w:t>3. 工业企业利润同比</w:t>
            </w:r>
          </w:p>
        </w:tc>
        <w:tc>
          <w:tcPr>
            <w:tcW w:w="2076" w:type="dxa"/>
            <w:vAlign w:val="center"/>
          </w:tcPr>
          <w:p w14:paraId="64232E6F">
            <w:pPr>
              <w:jc w:val="left"/>
            </w:pPr>
            <w:r>
              <w:t>任意 2 个指标连续 2 个月环比下行，PMI 新订单分项回落至 50 荣枯线附近</w:t>
            </w:r>
          </w:p>
        </w:tc>
        <w:tc>
          <w:tcPr>
            <w:tcW w:w="2076" w:type="dxa"/>
            <w:vAlign w:val="center"/>
          </w:tcPr>
          <w:p w14:paraId="581D38FF">
            <w:pPr>
              <w:jc w:val="left"/>
            </w:pPr>
            <w:r>
              <w:t>核心 CPI 同比仍处于 2% 以上高位，央行维持流动性收紧状态</w:t>
            </w:r>
          </w:p>
        </w:tc>
      </w:tr>
      <w:tr w14:paraId="3398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716FEF">
            <w:pPr>
              <w:jc w:val="left"/>
            </w:pPr>
            <w:r>
              <w:rPr>
                <w:b/>
              </w:rPr>
              <w:t>放缓→衰退（深度下行拐点）</w:t>
            </w:r>
          </w:p>
        </w:tc>
        <w:tc>
          <w:tcPr>
            <w:tcW w:w="2076" w:type="dxa"/>
            <w:vAlign w:val="center"/>
          </w:tcPr>
          <w:p w14:paraId="7698D6F5">
            <w:pPr>
              <w:jc w:val="left"/>
            </w:pPr>
            <w:r>
              <w:t>1. 制造业 PMI</w:t>
            </w:r>
            <w:r>
              <w:br w:type="textWrapping"/>
            </w:r>
            <w:r>
              <w:t>2. 企业中长期贷款同比</w:t>
            </w:r>
            <w:r>
              <w:br w:type="textWrapping"/>
            </w:r>
            <w:r>
              <w:t>3. 核心 CPI 同比</w:t>
            </w:r>
          </w:p>
        </w:tc>
        <w:tc>
          <w:tcPr>
            <w:tcW w:w="2076" w:type="dxa"/>
            <w:vAlign w:val="center"/>
          </w:tcPr>
          <w:p w14:paraId="1D663C87">
            <w:pPr>
              <w:jc w:val="left"/>
            </w:pPr>
            <w:r>
              <w:t xml:space="preserve">任意 2 个指标连续 2 个月环比下行，PMI 回落至 50 荣枯线以下，核心 CPI 同比回落至 </w:t>
            </w:r>
            <w:r>
              <w:rPr>
                <w:b/>
              </w:rPr>
              <w:t>0.5%</w:t>
            </w:r>
            <w:r>
              <w:t xml:space="preserve"> 以下</w:t>
            </w:r>
          </w:p>
        </w:tc>
        <w:tc>
          <w:tcPr>
            <w:tcW w:w="2076" w:type="dxa"/>
            <w:vAlign w:val="center"/>
          </w:tcPr>
          <w:p w14:paraId="76141C45">
            <w:pPr>
              <w:jc w:val="left"/>
            </w:pPr>
            <w:r>
              <w:t>花旗中国经济意外指数连续 2 个月为负，北向资金连续 2 周净流出</w:t>
            </w:r>
          </w:p>
        </w:tc>
      </w:tr>
    </w:tbl>
    <w:p w14:paraId="1A109236">
      <w:pPr>
        <w:pBdr>
          <w:bottom w:val="single" w:color="auto" w:sz="8" w:space="0"/>
        </w:pBdr>
      </w:pPr>
    </w:p>
    <w:p w14:paraId="540B3207">
      <w:pPr>
        <w:pStyle w:val="7"/>
      </w:pPr>
      <w:r>
        <w:t>4.2.5 美国版拐点量化判定标准</w:t>
      </w:r>
    </w:p>
    <w:p w14:paraId="12EE884A">
      <w:pPr>
        <w:pStyle w:val="4"/>
      </w:pPr>
      <w:r>
        <w:t>美国周期的拐点确认遵循与中国相同的三大硬性规则（双指标共振 + 连续同向 + 幅度达标），但指标体系不同：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926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B92F33">
            <w:pPr>
              <w:jc w:val="left"/>
            </w:pPr>
            <w:r>
              <w:t>周期拐点类型</w:t>
            </w:r>
          </w:p>
        </w:tc>
        <w:tc>
          <w:tcPr>
            <w:tcW w:w="2076" w:type="dxa"/>
            <w:vAlign w:val="center"/>
          </w:tcPr>
          <w:p w14:paraId="1145B5BF">
            <w:pPr>
              <w:jc w:val="left"/>
            </w:pPr>
            <w:r>
              <w:t>核心确认指标（至少选取 2 个）</w:t>
            </w:r>
          </w:p>
        </w:tc>
        <w:tc>
          <w:tcPr>
            <w:tcW w:w="2076" w:type="dxa"/>
            <w:vAlign w:val="center"/>
          </w:tcPr>
          <w:p w14:paraId="3DCC98EB">
            <w:pPr>
              <w:jc w:val="left"/>
            </w:pPr>
            <w:r>
              <w:t>量化确认条件</w:t>
            </w:r>
          </w:p>
        </w:tc>
        <w:tc>
          <w:tcPr>
            <w:tcW w:w="2076" w:type="dxa"/>
            <w:vAlign w:val="center"/>
          </w:tcPr>
          <w:p w14:paraId="3CE70AF7">
            <w:pPr>
              <w:jc w:val="left"/>
            </w:pPr>
            <w:r>
              <w:t>交叉验证强制要求</w:t>
            </w:r>
          </w:p>
        </w:tc>
      </w:tr>
      <w:tr w14:paraId="66B2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01A824E">
            <w:pPr>
              <w:jc w:val="left"/>
            </w:pPr>
            <w:r>
              <w:rPr>
                <w:b/>
              </w:rPr>
              <w:t>衰退→复苏（底部拐点）</w:t>
            </w:r>
          </w:p>
        </w:tc>
        <w:tc>
          <w:tcPr>
            <w:tcW w:w="2076" w:type="dxa"/>
            <w:vAlign w:val="center"/>
          </w:tcPr>
          <w:p w14:paraId="4D5823C3">
            <w:pPr>
              <w:jc w:val="left"/>
            </w:pPr>
            <w:r>
              <w:t>1. ISM 制造业 PMI 新订单分项</w:t>
            </w:r>
            <w:r>
              <w:br w:type="textWrapping"/>
            </w:r>
            <w:r>
              <w:t>2. 非农就业 3 个月均值</w:t>
            </w:r>
            <w:r>
              <w:br w:type="textWrapping"/>
            </w:r>
            <w:r>
              <w:t>3. 初申失业金人数 4 周均值</w:t>
            </w:r>
          </w:p>
        </w:tc>
        <w:tc>
          <w:tcPr>
            <w:tcW w:w="2076" w:type="dxa"/>
            <w:vAlign w:val="center"/>
          </w:tcPr>
          <w:p w14:paraId="47C3C8F5">
            <w:pPr>
              <w:jc w:val="left"/>
            </w:pPr>
            <w:r>
              <w:t>任意 2 个指标连续 2 个月改善（PMI/非农回升、初申下降），且变动幅度 ≥ 0.2 个百分点</w:t>
            </w:r>
          </w:p>
        </w:tc>
        <w:tc>
          <w:tcPr>
            <w:tcW w:w="2076" w:type="dxa"/>
            <w:vAlign w:val="center"/>
          </w:tcPr>
          <w:p w14:paraId="0CD8CA2C">
            <w:pPr>
              <w:jc w:val="left"/>
            </w:pPr>
            <w:r>
              <w:t>花旗美国经济意外指数连续 2 个月为正，2Y-10Y 利差结束倒挂</w:t>
            </w:r>
          </w:p>
        </w:tc>
      </w:tr>
      <w:tr w14:paraId="1ED81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633C564">
            <w:pPr>
              <w:jc w:val="left"/>
            </w:pPr>
            <w:r>
              <w:rPr>
                <w:b/>
              </w:rPr>
              <w:t>复苏→扩张（上行拐点）</w:t>
            </w:r>
          </w:p>
        </w:tc>
        <w:tc>
          <w:tcPr>
            <w:tcW w:w="2076" w:type="dxa"/>
            <w:vAlign w:val="center"/>
          </w:tcPr>
          <w:p w14:paraId="369FF9D3">
            <w:pPr>
              <w:jc w:val="left"/>
            </w:pPr>
            <w:r>
              <w:t>1. ISM 制造业 PMI 生产分项</w:t>
            </w:r>
            <w:r>
              <w:br w:type="textWrapping"/>
            </w:r>
            <w:r>
              <w:t>2. 零售销售同比</w:t>
            </w:r>
            <w:r>
              <w:br w:type="textWrapping"/>
            </w:r>
            <w:r>
              <w:t>3. 新屋开工</w:t>
            </w:r>
          </w:p>
        </w:tc>
        <w:tc>
          <w:tcPr>
            <w:tcW w:w="2076" w:type="dxa"/>
            <w:vAlign w:val="center"/>
          </w:tcPr>
          <w:p w14:paraId="733467B7">
            <w:pPr>
              <w:jc w:val="left"/>
            </w:pPr>
            <w:r>
              <w:t>任意 2 个指标连续 2 个月环比回升，ISM PMI 站上 50</w:t>
            </w:r>
          </w:p>
        </w:tc>
        <w:tc>
          <w:tcPr>
            <w:tcW w:w="2076" w:type="dxa"/>
            <w:vAlign w:val="center"/>
          </w:tcPr>
          <w:p w14:paraId="04563238">
            <w:pPr>
              <w:jc w:val="left"/>
            </w:pPr>
            <w:r>
              <w:t>信贷脉冲转正，核心 PCE 环比 ≥ 0.2%</w:t>
            </w:r>
          </w:p>
        </w:tc>
      </w:tr>
      <w:tr w14:paraId="2159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22F8B9E">
            <w:pPr>
              <w:jc w:val="left"/>
            </w:pPr>
            <w:r>
              <w:rPr>
                <w:b/>
              </w:rPr>
              <w:t>扩张→过热（顶部拐点）</w:t>
            </w:r>
          </w:p>
        </w:tc>
        <w:tc>
          <w:tcPr>
            <w:tcW w:w="2076" w:type="dxa"/>
            <w:vAlign w:val="center"/>
          </w:tcPr>
          <w:p w14:paraId="61075097">
            <w:pPr>
              <w:jc w:val="left"/>
            </w:pPr>
            <w:r>
              <w:t>1. 核心 PCE 同比</w:t>
            </w:r>
            <w:r>
              <w:br w:type="textWrapping"/>
            </w:r>
            <w:r>
              <w:t>2. 10Y-2Y UST 利差</w:t>
            </w:r>
            <w:r>
              <w:br w:type="textWrapping"/>
            </w:r>
            <w:r>
              <w:t>3. ISM PMI 原材料价格分项</w:t>
            </w:r>
          </w:p>
        </w:tc>
        <w:tc>
          <w:tcPr>
            <w:tcW w:w="2076" w:type="dxa"/>
            <w:vAlign w:val="center"/>
          </w:tcPr>
          <w:p w14:paraId="19DDD5F1">
            <w:pPr>
              <w:jc w:val="left"/>
            </w:pPr>
            <w:r>
              <w:t xml:space="preserve">任意 2 个指标连续 2 个月环比上行，核心 PCE 同比突破 </w:t>
            </w:r>
            <w:r>
              <w:rPr>
                <w:b/>
              </w:rPr>
              <w:t>2.5%</w:t>
            </w:r>
          </w:p>
        </w:tc>
        <w:tc>
          <w:tcPr>
            <w:tcW w:w="2076" w:type="dxa"/>
            <w:vAlign w:val="center"/>
          </w:tcPr>
          <w:p w14:paraId="3A5E0924">
            <w:pPr>
              <w:jc w:val="left"/>
            </w:pPr>
            <w:r>
              <w:t>美联储出现边际收紧操作，IG 信用利差触底回升</w:t>
            </w:r>
          </w:p>
        </w:tc>
      </w:tr>
      <w:tr w14:paraId="7CA6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1752063">
            <w:pPr>
              <w:jc w:val="left"/>
            </w:pPr>
            <w:r>
              <w:rPr>
                <w:b/>
              </w:rPr>
              <w:t>过热→放缓（下行拐点）</w:t>
            </w:r>
          </w:p>
        </w:tc>
        <w:tc>
          <w:tcPr>
            <w:tcW w:w="2076" w:type="dxa"/>
            <w:vAlign w:val="center"/>
          </w:tcPr>
          <w:p w14:paraId="523CD496">
            <w:pPr>
              <w:jc w:val="left"/>
            </w:pPr>
            <w:r>
              <w:t>1. ISM PMI 新订单分项</w:t>
            </w:r>
            <w:r>
              <w:br w:type="textWrapping"/>
            </w:r>
            <w:r>
              <w:t>2. 非农就业 3 个月均值</w:t>
            </w:r>
            <w:r>
              <w:br w:type="textWrapping"/>
            </w:r>
            <w:r>
              <w:t>3. 信贷脉冲</w:t>
            </w:r>
          </w:p>
        </w:tc>
        <w:tc>
          <w:tcPr>
            <w:tcW w:w="2076" w:type="dxa"/>
            <w:vAlign w:val="center"/>
          </w:tcPr>
          <w:p w14:paraId="188A9D0D">
            <w:pPr>
              <w:jc w:val="left"/>
            </w:pPr>
            <w:r>
              <w:t>任意 2 个指标连续 2 个月环比下行，ISM 新订单回落至 50 附近</w:t>
            </w:r>
          </w:p>
        </w:tc>
        <w:tc>
          <w:tcPr>
            <w:tcW w:w="2076" w:type="dxa"/>
            <w:vAlign w:val="center"/>
          </w:tcPr>
          <w:p w14:paraId="58E1727F">
            <w:pPr>
              <w:jc w:val="left"/>
            </w:pPr>
            <w:r>
              <w:t>核心 PCE 仍处于 2% 以上高位，美联储维持收紧立场</w:t>
            </w:r>
          </w:p>
        </w:tc>
      </w:tr>
      <w:tr w14:paraId="4C08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1C8178D">
            <w:pPr>
              <w:jc w:val="left"/>
            </w:pPr>
            <w:r>
              <w:rPr>
                <w:b/>
              </w:rPr>
              <w:t>放缓→衰退（深度下行拐点）</w:t>
            </w:r>
          </w:p>
        </w:tc>
        <w:tc>
          <w:tcPr>
            <w:tcW w:w="2076" w:type="dxa"/>
            <w:vAlign w:val="center"/>
          </w:tcPr>
          <w:p w14:paraId="79858929">
            <w:pPr>
              <w:jc w:val="left"/>
            </w:pPr>
            <w:r>
              <w:t>1. ISM 制造业 PMI</w:t>
            </w:r>
            <w:r>
              <w:br w:type="textWrapping"/>
            </w:r>
            <w:r>
              <w:t>2. 初申失业金人数 4 周均值</w:t>
            </w:r>
            <w:r>
              <w:br w:type="textWrapping"/>
            </w:r>
            <w:r>
              <w:t>3. 核心 PCE 同比</w:t>
            </w:r>
          </w:p>
        </w:tc>
        <w:tc>
          <w:tcPr>
            <w:tcW w:w="2076" w:type="dxa"/>
            <w:vAlign w:val="center"/>
          </w:tcPr>
          <w:p w14:paraId="0E93864E">
            <w:pPr>
              <w:jc w:val="left"/>
            </w:pPr>
            <w:r>
              <w:t>任意 2 个指标连续 2 个月环比恶化，PMI 回落至 50 以下，</w:t>
            </w:r>
            <w:r>
              <w:rPr>
                <w:b/>
              </w:rPr>
              <w:t>Sahm Rule ≥ 0.5 时强制确认</w:t>
            </w:r>
          </w:p>
        </w:tc>
        <w:tc>
          <w:tcPr>
            <w:tcW w:w="2076" w:type="dxa"/>
            <w:vAlign w:val="center"/>
          </w:tcPr>
          <w:p w14:paraId="44B311AD">
            <w:pPr>
              <w:jc w:val="left"/>
            </w:pPr>
            <w:r>
              <w:t>花旗美国经济意外指数连续 2 个月为负，2Y-10Y 利差深度倒挂</w:t>
            </w:r>
          </w:p>
        </w:tc>
      </w:tr>
    </w:tbl>
    <w:p w14:paraId="04BB9FCB">
      <w:pPr>
        <w:pStyle w:val="12"/>
      </w:pPr>
      <w:r>
        <w:rPr>
          <w:b/>
        </w:rPr>
        <w:t>Sahm Rule 优先级：</w:t>
      </w:r>
      <w:r>
        <w:t xml:space="preserve"> 当 Sahm Rule 触发（≥ 0.5）时，无论其他指标如何，"放缓→衰退"拐点强制确认，并触发 4.4.6 异常处理规则。</w:t>
      </w:r>
    </w:p>
    <w:p w14:paraId="7351B8ED">
      <w:pPr>
        <w:pBdr>
          <w:bottom w:val="single" w:color="auto" w:sz="8" w:space="0"/>
        </w:pBdr>
      </w:pPr>
    </w:p>
    <w:p w14:paraId="106A5788">
      <w:pPr>
        <w:pStyle w:val="7"/>
      </w:pPr>
      <w:r>
        <w:t>4.2.6 六阶段与 Layer 2 四象限的对应关系</w:t>
      </w:r>
    </w:p>
    <w:p w14:paraId="64987F84">
      <w:pPr>
        <w:pStyle w:val="4"/>
      </w:pPr>
      <w:r>
        <w:t>六阶段是拐点确认的细粒度刻度，Layer 2 四象限是主定位框架，二者的对应关系如下：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1E0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6B380D">
            <w:pPr>
              <w:jc w:val="left"/>
            </w:pPr>
            <w:r>
              <w:t>Layer 2 四象限</w:t>
            </w:r>
          </w:p>
        </w:tc>
        <w:tc>
          <w:tcPr>
            <w:tcW w:w="2768" w:type="dxa"/>
            <w:vAlign w:val="center"/>
          </w:tcPr>
          <w:p w14:paraId="6A5DBBCF">
            <w:pPr>
              <w:jc w:val="left"/>
            </w:pPr>
            <w:r>
              <w:t>对应 4.2 六阶段</w:t>
            </w:r>
          </w:p>
        </w:tc>
        <w:tc>
          <w:tcPr>
            <w:tcW w:w="2768" w:type="dxa"/>
            <w:vAlign w:val="center"/>
          </w:tcPr>
          <w:p w14:paraId="401E8711">
            <w:pPr>
              <w:jc w:val="left"/>
            </w:pPr>
            <w:r>
              <w:t>拐点确认触发条件</w:t>
            </w:r>
          </w:p>
        </w:tc>
      </w:tr>
      <w:tr w14:paraId="4C36F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2EF49C8">
            <w:pPr>
              <w:jc w:val="left"/>
            </w:pPr>
            <w:r>
              <w:rPr>
                <w:b/>
              </w:rPr>
              <w:t>象限 I：复苏</w:t>
            </w:r>
            <w:r>
              <w:t>（增长↑通胀→↓）</w:t>
            </w:r>
          </w:p>
        </w:tc>
        <w:tc>
          <w:tcPr>
            <w:tcW w:w="2768" w:type="dxa"/>
            <w:vAlign w:val="center"/>
          </w:tcPr>
          <w:p w14:paraId="64A03DF7">
            <w:pPr>
              <w:jc w:val="left"/>
            </w:pPr>
            <w:r>
              <w:t>复苏 + 扩张</w:t>
            </w:r>
          </w:p>
        </w:tc>
        <w:tc>
          <w:tcPr>
            <w:tcW w:w="2768" w:type="dxa"/>
            <w:vAlign w:val="center"/>
          </w:tcPr>
          <w:p w14:paraId="074864BC">
            <w:pPr>
              <w:jc w:val="left"/>
            </w:pPr>
            <w:r>
              <w:t>衰退→复苏拐点确认（4.2.4 第一行）</w:t>
            </w:r>
          </w:p>
        </w:tc>
      </w:tr>
      <w:tr w14:paraId="02A4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B9E0468">
            <w:pPr>
              <w:jc w:val="left"/>
            </w:pPr>
            <w:r>
              <w:rPr>
                <w:b/>
              </w:rPr>
              <w:t>象限 II：过热</w:t>
            </w:r>
            <w:r>
              <w:t>（增长↑通胀↑）</w:t>
            </w:r>
          </w:p>
        </w:tc>
        <w:tc>
          <w:tcPr>
            <w:tcW w:w="2768" w:type="dxa"/>
            <w:vAlign w:val="center"/>
          </w:tcPr>
          <w:p w14:paraId="7EE82CDC">
            <w:pPr>
              <w:jc w:val="left"/>
            </w:pPr>
            <w:r>
              <w:t>过热</w:t>
            </w:r>
          </w:p>
        </w:tc>
        <w:tc>
          <w:tcPr>
            <w:tcW w:w="2768" w:type="dxa"/>
            <w:vAlign w:val="center"/>
          </w:tcPr>
          <w:p w14:paraId="0CA6AAC3">
            <w:pPr>
              <w:jc w:val="left"/>
            </w:pPr>
            <w:r>
              <w:t>扩张→过热拐点确认（4.2.4 第三行）</w:t>
            </w:r>
          </w:p>
        </w:tc>
      </w:tr>
      <w:tr w14:paraId="59A0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891AA5C">
            <w:pPr>
              <w:jc w:val="left"/>
            </w:pPr>
            <w:r>
              <w:rPr>
                <w:b/>
              </w:rPr>
              <w:t>象限 III：滞胀</w:t>
            </w:r>
            <w:r>
              <w:t>（增长↓通胀↑）</w:t>
            </w:r>
          </w:p>
        </w:tc>
        <w:tc>
          <w:tcPr>
            <w:tcW w:w="2768" w:type="dxa"/>
            <w:vAlign w:val="center"/>
          </w:tcPr>
          <w:p w14:paraId="5636C919">
            <w:pPr>
              <w:jc w:val="left"/>
            </w:pPr>
            <w:r>
              <w:t>放缓</w:t>
            </w:r>
          </w:p>
        </w:tc>
        <w:tc>
          <w:tcPr>
            <w:tcW w:w="2768" w:type="dxa"/>
            <w:vAlign w:val="center"/>
          </w:tcPr>
          <w:p w14:paraId="7B43D3CB">
            <w:pPr>
              <w:jc w:val="left"/>
            </w:pPr>
            <w:r>
              <w:t>过热→放缓拐点确认（4.2.4 第四行）</w:t>
            </w:r>
          </w:p>
        </w:tc>
      </w:tr>
      <w:tr w14:paraId="4B3D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C290F60">
            <w:pPr>
              <w:jc w:val="left"/>
            </w:pPr>
            <w:r>
              <w:rPr>
                <w:b/>
              </w:rPr>
              <w:t>象限 IV：衰退</w:t>
            </w:r>
            <w:r>
              <w:t>（增长↓通胀→↓）</w:t>
            </w:r>
          </w:p>
        </w:tc>
        <w:tc>
          <w:tcPr>
            <w:tcW w:w="2768" w:type="dxa"/>
            <w:vAlign w:val="center"/>
          </w:tcPr>
          <w:p w14:paraId="7D1CD2C8">
            <w:pPr>
              <w:jc w:val="left"/>
            </w:pPr>
            <w:r>
              <w:t>衰退</w:t>
            </w:r>
          </w:p>
        </w:tc>
        <w:tc>
          <w:tcPr>
            <w:tcW w:w="2768" w:type="dxa"/>
            <w:vAlign w:val="center"/>
          </w:tcPr>
          <w:p w14:paraId="34B48510">
            <w:pPr>
              <w:jc w:val="left"/>
            </w:pPr>
            <w:r>
              <w:t>放缓→衰退拐点确认（4.2.4 第五行）</w:t>
            </w:r>
          </w:p>
        </w:tc>
      </w:tr>
    </w:tbl>
    <w:p w14:paraId="55867E30">
      <w:pPr>
        <w:pStyle w:val="4"/>
      </w:pPr>
      <w:r>
        <w:rPr>
          <w:b/>
        </w:rPr>
        <w:t>象限切换规则：</w:t>
      </w:r>
      <w:r>
        <w:t xml:space="preserve"> Layer 2 四象限的 CAI/通胀符号组合指示象限切换信号，但象限切换的正式确认需通过 4.2.4 对应拐点的量化标准。当四象限信号与 4.2 拐点确认冲突时，以 4.2 拐点确认为准。</w:t>
      </w:r>
    </w:p>
    <w:p w14:paraId="260E99DF">
      <w:pPr>
        <w:pBdr>
          <w:bottom w:val="single" w:color="auto" w:sz="8" w:space="0"/>
        </w:pBdr>
      </w:pPr>
    </w:p>
    <w:p w14:paraId="38502480">
      <w:pPr>
        <w:pStyle w:val="6"/>
      </w:pPr>
      <w:r>
        <w:t>4.3 7 层流水线标准化执行流程</w:t>
      </w:r>
    </w:p>
    <w:p w14:paraId="48A815C4">
      <w:pPr>
        <w:pStyle w:val="7"/>
      </w:pPr>
      <w:r>
        <w:t>前置绑定规则</w:t>
      </w:r>
    </w:p>
    <w:p w14:paraId="6A3DB05D">
      <w:pPr>
        <w:pStyle w:val="4"/>
      </w:pPr>
      <w:r>
        <w:t>本流程所有周期定位，全部以 4.2《周期拐点确认规则》为拐点确认依据，具体要求如下：</w:t>
      </w:r>
    </w:p>
    <w:p w14:paraId="3E57594E">
      <w:pPr>
        <w:pStyle w:val="4"/>
        <w:numPr>
          <w:ilvl w:val="0"/>
          <w:numId w:val="8"/>
        </w:numPr>
      </w:pPr>
      <w:r>
        <w:t>Layer 2 四象限定位基于 CAI/通胀得分的符号组合确定象限，4.2 拐点确认标准用于验证象限切换是否成立；</w:t>
      </w:r>
    </w:p>
    <w:p w14:paraId="38C39330">
      <w:pPr>
        <w:pStyle w:val="4"/>
        <w:numPr>
          <w:ilvl w:val="0"/>
          <w:numId w:val="8"/>
        </w:numPr>
      </w:pPr>
      <w:r>
        <w:t>象限切换信号出现但 4.2 拐点尚未确认时，标记为"象限过渡区"，等待数据验证；</w:t>
      </w:r>
    </w:p>
    <w:p w14:paraId="4C663AF6">
      <w:pPr>
        <w:pStyle w:val="4"/>
        <w:numPr>
          <w:ilvl w:val="0"/>
          <w:numId w:val="8"/>
        </w:numPr>
      </w:pPr>
      <w:r>
        <w:t>禁止跳过 4.2 拐点确认标准直接判定象限切换。</w:t>
      </w:r>
    </w:p>
    <w:p w14:paraId="3950EA06">
      <w:pPr>
        <w:pBdr>
          <w:bottom w:val="single" w:color="auto" w:sz="8" w:space="0"/>
        </w:pBdr>
      </w:pPr>
    </w:p>
    <w:p w14:paraId="23AA1389">
      <w:pPr>
        <w:pStyle w:val="7"/>
      </w:pPr>
      <w:r>
        <w:t>Layer 0：双经济体追踪与中美交互通道</w:t>
      </w:r>
    </w:p>
    <w:p w14:paraId="0C9C1373">
      <w:pPr>
        <w:pStyle w:val="9"/>
      </w:pPr>
      <w:r>
        <w:t>0.1 设计依据</w:t>
      </w:r>
    </w:p>
    <w:p w14:paraId="09EECB11">
      <w:pPr>
        <w:pStyle w:val="4"/>
      </w:pPr>
      <w:r>
        <w:t>中国资产的定价同时受国内基本面和美国/全球周期驱动，这是 2018 年以来最重要的结构性变化。仅追踪中国的框架在 2022 年（美联储激进加息）、2024 年（中美利差深度倒挂）等关键时点必然失效。本层设立中国与美国并行追踪结构，作为整个 7 层流水线的输入层。</w:t>
      </w:r>
    </w:p>
    <w:p w14:paraId="4E56EBD7">
      <w:pPr>
        <w:pStyle w:val="4"/>
      </w:pPr>
      <w:r>
        <w:rPr>
          <w:b/>
        </w:rPr>
        <w:t>核心原则：</w:t>
      </w:r>
    </w:p>
    <w:p w14:paraId="5D2C8C08">
      <w:pPr>
        <w:pStyle w:val="4"/>
        <w:numPr>
          <w:ilvl w:val="0"/>
          <w:numId w:val="9"/>
        </w:numPr>
      </w:pPr>
      <w:r>
        <w:rPr>
          <w:b/>
        </w:rPr>
        <w:t>两国指标按完全对应的维度组织</w:t>
      </w:r>
      <w:r>
        <w:t>——每个维度同时跑两国版本，通过差值或比值得到跨国信号。例如"中美增长差""中美通胀差"本身就是独立的资产定价变量。</w:t>
      </w:r>
    </w:p>
    <w:p w14:paraId="3061B24F">
      <w:pPr>
        <w:pStyle w:val="4"/>
        <w:numPr>
          <w:ilvl w:val="0"/>
          <w:numId w:val="9"/>
        </w:numPr>
      </w:pPr>
      <w:r>
        <w:rPr>
          <w:b/>
        </w:rPr>
        <w:t>中国数据的特殊处理</w:t>
      </w:r>
      <w:r>
        <w:t>——春节扰动（1-2 月宏观数据合并看待或做春节调整）、数据修订与发布滞后（初值→修订→终值，取发布时间戳）、指标失效替代（如 M2 失去信号意义→以社融存量同比替代）。</w:t>
      </w:r>
    </w:p>
    <w:p w14:paraId="5C8A169A">
      <w:pPr>
        <w:pStyle w:val="4"/>
        <w:numPr>
          <w:ilvl w:val="0"/>
          <w:numId w:val="9"/>
        </w:numPr>
      </w:pPr>
      <w:r>
        <w:rPr>
          <w:b/>
        </w:rPr>
        <w:t>Point-in-time 数据强制要求</w:t>
      </w:r>
      <w:r>
        <w:t>——回测必须用当时能看到的版本（vintage data），避免前视偏误。所有历史序列在数据库中按"发布日期"而非"统计期"排列。</w:t>
      </w:r>
    </w:p>
    <w:p w14:paraId="1F617FC9">
      <w:pPr>
        <w:pBdr>
          <w:bottom w:val="single" w:color="auto" w:sz="8" w:space="0"/>
        </w:pBdr>
      </w:pPr>
    </w:p>
    <w:p w14:paraId="6B68434A">
      <w:pPr>
        <w:pStyle w:val="9"/>
      </w:pPr>
      <w:r>
        <w:t>0.2 两国指标维度的对应结构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609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C373F82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07DFD60B">
            <w:pPr>
              <w:jc w:val="left"/>
            </w:pPr>
            <w:r>
              <w:t>中国指标</w:t>
            </w:r>
          </w:p>
        </w:tc>
        <w:tc>
          <w:tcPr>
            <w:tcW w:w="1661" w:type="dxa"/>
            <w:vAlign w:val="center"/>
          </w:tcPr>
          <w:p w14:paraId="3A83F0AD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255F8A10">
            <w:pPr>
              <w:jc w:val="left"/>
            </w:pPr>
            <w:r>
              <w:t>美国指标</w:t>
            </w:r>
          </w:p>
        </w:tc>
        <w:tc>
          <w:tcPr>
            <w:tcW w:w="1661" w:type="dxa"/>
            <w:vAlign w:val="center"/>
          </w:tcPr>
          <w:p w14:paraId="74ACCD75">
            <w:pPr>
              <w:jc w:val="left"/>
            </w:pPr>
            <w:r>
              <w:t>数据来源</w:t>
            </w:r>
          </w:p>
        </w:tc>
      </w:tr>
      <w:tr w14:paraId="76E6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446265F">
            <w:pPr>
              <w:jc w:val="left"/>
            </w:pPr>
            <w:r>
              <w:rPr>
                <w:b/>
              </w:rPr>
              <w:t>增长</w:t>
            </w:r>
          </w:p>
        </w:tc>
        <w:tc>
          <w:tcPr>
            <w:tcW w:w="1661" w:type="dxa"/>
            <w:vAlign w:val="center"/>
          </w:tcPr>
          <w:p w14:paraId="6F7EE21E">
            <w:pPr>
              <w:jc w:val="left"/>
            </w:pPr>
            <w:r>
              <w:t>工业增加值同比</w:t>
            </w:r>
          </w:p>
        </w:tc>
        <w:tc>
          <w:tcPr>
            <w:tcW w:w="1661" w:type="dxa"/>
            <w:vAlign w:val="center"/>
          </w:tcPr>
          <w:p w14:paraId="6ACBBED7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74A75B70">
            <w:pPr>
              <w:jc w:val="left"/>
            </w:pPr>
            <w:r>
              <w:t>ISM Manufacturing PMI</w:t>
            </w:r>
          </w:p>
        </w:tc>
        <w:tc>
          <w:tcPr>
            <w:tcW w:w="1661" w:type="dxa"/>
            <w:vAlign w:val="center"/>
          </w:tcPr>
          <w:p w14:paraId="1FA8973B">
            <w:pPr>
              <w:jc w:val="left"/>
            </w:pPr>
            <w:r>
              <w:t>ISM</w:t>
            </w:r>
          </w:p>
        </w:tc>
      </w:tr>
      <w:tr w14:paraId="3E1C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7B1244B">
            <w:pPr>
              <w:jc w:val="left"/>
            </w:pPr>
          </w:p>
        </w:tc>
        <w:tc>
          <w:tcPr>
            <w:tcW w:w="1661" w:type="dxa"/>
            <w:vAlign w:val="center"/>
          </w:tcPr>
          <w:p w14:paraId="1B8A5C0F">
            <w:pPr>
              <w:jc w:val="left"/>
            </w:pPr>
            <w:r>
              <w:t>统计局制造业 PMI</w:t>
            </w:r>
          </w:p>
        </w:tc>
        <w:tc>
          <w:tcPr>
            <w:tcW w:w="1661" w:type="dxa"/>
            <w:vAlign w:val="center"/>
          </w:tcPr>
          <w:p w14:paraId="0FC0E929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1C83CA19">
            <w:pPr>
              <w:jc w:val="left"/>
            </w:pPr>
            <w:r>
              <w:t>非农就业</w:t>
            </w:r>
          </w:p>
        </w:tc>
        <w:tc>
          <w:tcPr>
            <w:tcW w:w="1661" w:type="dxa"/>
            <w:vAlign w:val="center"/>
          </w:tcPr>
          <w:p w14:paraId="13E06D0B">
            <w:pPr>
              <w:jc w:val="left"/>
            </w:pPr>
            <w:r>
              <w:t>BLS</w:t>
            </w:r>
          </w:p>
        </w:tc>
      </w:tr>
      <w:tr w14:paraId="4535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A06F024">
            <w:pPr>
              <w:jc w:val="left"/>
            </w:pPr>
          </w:p>
        </w:tc>
        <w:tc>
          <w:tcPr>
            <w:tcW w:w="1661" w:type="dxa"/>
            <w:vAlign w:val="center"/>
          </w:tcPr>
          <w:p w14:paraId="2493F67F">
            <w:pPr>
              <w:jc w:val="left"/>
            </w:pPr>
            <w:r>
              <w:t>财新制造业 PMI</w:t>
            </w:r>
          </w:p>
        </w:tc>
        <w:tc>
          <w:tcPr>
            <w:tcW w:w="1661" w:type="dxa"/>
            <w:vAlign w:val="center"/>
          </w:tcPr>
          <w:p w14:paraId="58A5B1B5">
            <w:pPr>
              <w:jc w:val="left"/>
            </w:pPr>
            <w:r>
              <w:t>Caixin/S&amp;P</w:t>
            </w:r>
          </w:p>
        </w:tc>
        <w:tc>
          <w:tcPr>
            <w:tcW w:w="1661" w:type="dxa"/>
            <w:vAlign w:val="center"/>
          </w:tcPr>
          <w:p w14:paraId="55CBFE82">
            <w:pPr>
              <w:jc w:val="left"/>
            </w:pPr>
            <w:r>
              <w:t>GDP 同比（环比折年）</w:t>
            </w:r>
          </w:p>
        </w:tc>
        <w:tc>
          <w:tcPr>
            <w:tcW w:w="1661" w:type="dxa"/>
            <w:vAlign w:val="center"/>
          </w:tcPr>
          <w:p w14:paraId="70E1BFC4">
            <w:pPr>
              <w:jc w:val="left"/>
            </w:pPr>
            <w:r>
              <w:t>BEA</w:t>
            </w:r>
          </w:p>
        </w:tc>
      </w:tr>
      <w:tr w14:paraId="45E2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098D3EA">
            <w:pPr>
              <w:jc w:val="left"/>
            </w:pPr>
          </w:p>
        </w:tc>
        <w:tc>
          <w:tcPr>
            <w:tcW w:w="1661" w:type="dxa"/>
            <w:vAlign w:val="center"/>
          </w:tcPr>
          <w:p w14:paraId="02AB6066">
            <w:pPr>
              <w:jc w:val="left"/>
            </w:pPr>
            <w:r>
              <w:t>GDP 同比</w:t>
            </w:r>
          </w:p>
        </w:tc>
        <w:tc>
          <w:tcPr>
            <w:tcW w:w="1661" w:type="dxa"/>
            <w:vAlign w:val="center"/>
          </w:tcPr>
          <w:p w14:paraId="560D27F0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52CB1A70">
            <w:pPr>
              <w:jc w:val="left"/>
            </w:pPr>
            <w:r>
              <w:t>零售销售同比</w:t>
            </w:r>
          </w:p>
        </w:tc>
        <w:tc>
          <w:tcPr>
            <w:tcW w:w="1661" w:type="dxa"/>
            <w:vAlign w:val="center"/>
          </w:tcPr>
          <w:p w14:paraId="15C23555">
            <w:pPr>
              <w:jc w:val="left"/>
            </w:pPr>
            <w:r>
              <w:t>Census</w:t>
            </w:r>
          </w:p>
        </w:tc>
      </w:tr>
      <w:tr w14:paraId="0F93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0B23406">
            <w:pPr>
              <w:jc w:val="left"/>
            </w:pPr>
          </w:p>
        </w:tc>
        <w:tc>
          <w:tcPr>
            <w:tcW w:w="1661" w:type="dxa"/>
            <w:vAlign w:val="center"/>
          </w:tcPr>
          <w:p w14:paraId="0F622D71">
            <w:pPr>
              <w:jc w:val="left"/>
            </w:pPr>
            <w:r>
              <w:t>固定资产投资累计同比</w:t>
            </w:r>
          </w:p>
        </w:tc>
        <w:tc>
          <w:tcPr>
            <w:tcW w:w="1661" w:type="dxa"/>
            <w:vAlign w:val="center"/>
          </w:tcPr>
          <w:p w14:paraId="53F06FA3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40A12946">
            <w:pPr>
              <w:jc w:val="left"/>
            </w:pPr>
            <w:r>
              <w:t>工业生产指数同比</w:t>
            </w:r>
          </w:p>
        </w:tc>
        <w:tc>
          <w:tcPr>
            <w:tcW w:w="1661" w:type="dxa"/>
            <w:vAlign w:val="center"/>
          </w:tcPr>
          <w:p w14:paraId="63D9FE45">
            <w:pPr>
              <w:jc w:val="left"/>
            </w:pPr>
            <w:r>
              <w:t>Fed/G.17</w:t>
            </w:r>
          </w:p>
        </w:tc>
      </w:tr>
      <w:tr w14:paraId="5074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6AA27AA">
            <w:pPr>
              <w:jc w:val="left"/>
            </w:pPr>
            <w:r>
              <w:rPr>
                <w:b/>
              </w:rPr>
              <w:t>通胀</w:t>
            </w:r>
          </w:p>
        </w:tc>
        <w:tc>
          <w:tcPr>
            <w:tcW w:w="1661" w:type="dxa"/>
            <w:vAlign w:val="center"/>
          </w:tcPr>
          <w:p w14:paraId="08A62A67">
            <w:pPr>
              <w:jc w:val="left"/>
            </w:pPr>
            <w:r>
              <w:t>CPI 同比 / 核心CPI</w:t>
            </w:r>
          </w:p>
        </w:tc>
        <w:tc>
          <w:tcPr>
            <w:tcW w:w="1661" w:type="dxa"/>
            <w:vAlign w:val="center"/>
          </w:tcPr>
          <w:p w14:paraId="4B014B77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31141320">
            <w:pPr>
              <w:jc w:val="left"/>
            </w:pPr>
            <w:r>
              <w:t>PCE 同比 / 核心PCE</w:t>
            </w:r>
          </w:p>
        </w:tc>
        <w:tc>
          <w:tcPr>
            <w:tcW w:w="1661" w:type="dxa"/>
            <w:vAlign w:val="center"/>
          </w:tcPr>
          <w:p w14:paraId="209CBBEC">
            <w:pPr>
              <w:jc w:val="left"/>
            </w:pPr>
            <w:r>
              <w:t>BEA</w:t>
            </w:r>
          </w:p>
        </w:tc>
      </w:tr>
      <w:tr w14:paraId="41F8C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6F038C98">
            <w:pPr>
              <w:jc w:val="left"/>
            </w:pPr>
          </w:p>
        </w:tc>
        <w:tc>
          <w:tcPr>
            <w:tcW w:w="1661" w:type="dxa"/>
            <w:vAlign w:val="center"/>
          </w:tcPr>
          <w:p w14:paraId="2DB1B69E">
            <w:pPr>
              <w:jc w:val="left"/>
            </w:pPr>
            <w:r>
              <w:t>PPI 同比</w:t>
            </w:r>
          </w:p>
        </w:tc>
        <w:tc>
          <w:tcPr>
            <w:tcW w:w="1661" w:type="dxa"/>
            <w:vAlign w:val="center"/>
          </w:tcPr>
          <w:p w14:paraId="630BF94F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56EA66AA">
            <w:pPr>
              <w:jc w:val="left"/>
            </w:pPr>
            <w:r>
              <w:t>CPI 同比 / 核心CPI</w:t>
            </w:r>
          </w:p>
        </w:tc>
        <w:tc>
          <w:tcPr>
            <w:tcW w:w="1661" w:type="dxa"/>
            <w:vAlign w:val="center"/>
          </w:tcPr>
          <w:p w14:paraId="71AEA060">
            <w:pPr>
              <w:jc w:val="left"/>
            </w:pPr>
            <w:r>
              <w:t>BLS</w:t>
            </w:r>
          </w:p>
        </w:tc>
      </w:tr>
      <w:tr w14:paraId="0F3C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35E7B3A">
            <w:pPr>
              <w:jc w:val="left"/>
            </w:pPr>
          </w:p>
        </w:tc>
        <w:tc>
          <w:tcPr>
            <w:tcW w:w="1661" w:type="dxa"/>
            <w:vAlign w:val="center"/>
          </w:tcPr>
          <w:p w14:paraId="2CAEBB8F">
            <w:pPr>
              <w:jc w:val="left"/>
            </w:pPr>
            <w:r>
              <w:t>黄金/铜指数</w:t>
            </w:r>
          </w:p>
        </w:tc>
        <w:tc>
          <w:tcPr>
            <w:tcW w:w="1661" w:type="dxa"/>
            <w:vAlign w:val="center"/>
          </w:tcPr>
          <w:p w14:paraId="31448773">
            <w:pPr>
              <w:jc w:val="left"/>
            </w:pPr>
            <w:r>
              <w:t>南华期货</w:t>
            </w:r>
          </w:p>
        </w:tc>
        <w:tc>
          <w:tcPr>
            <w:tcW w:w="1661" w:type="dxa"/>
            <w:vAlign w:val="center"/>
          </w:tcPr>
          <w:p w14:paraId="117A80F5">
            <w:pPr>
              <w:jc w:val="left"/>
            </w:pPr>
            <w:r>
              <w:t>ECI 工资增速</w:t>
            </w:r>
          </w:p>
        </w:tc>
        <w:tc>
          <w:tcPr>
            <w:tcW w:w="1661" w:type="dxa"/>
            <w:vAlign w:val="center"/>
          </w:tcPr>
          <w:p w14:paraId="34166905">
            <w:pPr>
              <w:jc w:val="left"/>
            </w:pPr>
            <w:r>
              <w:t>BLS</w:t>
            </w:r>
          </w:p>
        </w:tc>
      </w:tr>
      <w:tr w14:paraId="5E36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F614848">
            <w:pPr>
              <w:jc w:val="left"/>
            </w:pPr>
            <w:r>
              <w:rPr>
                <w:b/>
              </w:rPr>
              <w:t>政策</w:t>
            </w:r>
          </w:p>
        </w:tc>
        <w:tc>
          <w:tcPr>
            <w:tcW w:w="1661" w:type="dxa"/>
            <w:vAlign w:val="center"/>
          </w:tcPr>
          <w:p w14:paraId="711599A4">
            <w:pPr>
              <w:jc w:val="left"/>
            </w:pPr>
            <w:r>
              <w:t>1Y LPR / 5Y LPR</w:t>
            </w:r>
          </w:p>
        </w:tc>
        <w:tc>
          <w:tcPr>
            <w:tcW w:w="1661" w:type="dxa"/>
            <w:vAlign w:val="center"/>
          </w:tcPr>
          <w:p w14:paraId="50B816D7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61CDC6C6">
            <w:pPr>
              <w:jc w:val="left"/>
            </w:pPr>
            <w:r>
              <w:t>FFR 目标利率</w:t>
            </w:r>
          </w:p>
        </w:tc>
        <w:tc>
          <w:tcPr>
            <w:tcW w:w="1661" w:type="dxa"/>
            <w:vAlign w:val="center"/>
          </w:tcPr>
          <w:p w14:paraId="3952AB6C">
            <w:pPr>
              <w:jc w:val="left"/>
            </w:pPr>
            <w:r>
              <w:t>Fed</w:t>
            </w:r>
          </w:p>
        </w:tc>
      </w:tr>
      <w:tr w14:paraId="39EAD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1039B04">
            <w:pPr>
              <w:jc w:val="left"/>
            </w:pPr>
          </w:p>
        </w:tc>
        <w:tc>
          <w:tcPr>
            <w:tcW w:w="1661" w:type="dxa"/>
            <w:vAlign w:val="center"/>
          </w:tcPr>
          <w:p w14:paraId="4C366C8F">
            <w:pPr>
              <w:jc w:val="left"/>
            </w:pPr>
            <w:r>
              <w:t>MLF 利率</w:t>
            </w:r>
          </w:p>
        </w:tc>
        <w:tc>
          <w:tcPr>
            <w:tcW w:w="1661" w:type="dxa"/>
            <w:vAlign w:val="center"/>
          </w:tcPr>
          <w:p w14:paraId="72BFF7A2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1415F446">
            <w:pPr>
              <w:jc w:val="left"/>
            </w:pPr>
            <w:r>
              <w:t>联邦基金利率区间</w:t>
            </w:r>
          </w:p>
        </w:tc>
        <w:tc>
          <w:tcPr>
            <w:tcW w:w="1661" w:type="dxa"/>
            <w:vAlign w:val="center"/>
          </w:tcPr>
          <w:p w14:paraId="1EBA461C">
            <w:pPr>
              <w:jc w:val="left"/>
            </w:pPr>
            <w:r>
              <w:t>Fed</w:t>
            </w:r>
          </w:p>
        </w:tc>
      </w:tr>
      <w:tr w14:paraId="0B392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6E6B5501">
            <w:pPr>
              <w:jc w:val="left"/>
            </w:pPr>
          </w:p>
        </w:tc>
        <w:tc>
          <w:tcPr>
            <w:tcW w:w="1661" w:type="dxa"/>
            <w:vAlign w:val="center"/>
          </w:tcPr>
          <w:p w14:paraId="66E51FF9">
            <w:pPr>
              <w:jc w:val="left"/>
            </w:pPr>
            <w:r>
              <w:t>降准幅度</w:t>
            </w:r>
          </w:p>
        </w:tc>
        <w:tc>
          <w:tcPr>
            <w:tcW w:w="1661" w:type="dxa"/>
            <w:vAlign w:val="center"/>
          </w:tcPr>
          <w:p w14:paraId="79DC70D8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31F85C5A">
            <w:pPr>
              <w:jc w:val="left"/>
            </w:pPr>
            <w:r>
              <w:t>QE/QT 规模</w:t>
            </w:r>
          </w:p>
        </w:tc>
        <w:tc>
          <w:tcPr>
            <w:tcW w:w="1661" w:type="dxa"/>
            <w:vAlign w:val="center"/>
          </w:tcPr>
          <w:p w14:paraId="4E89F2CF">
            <w:pPr>
              <w:jc w:val="left"/>
            </w:pPr>
            <w:r>
              <w:t>Fed</w:t>
            </w:r>
          </w:p>
        </w:tc>
      </w:tr>
      <w:tr w14:paraId="21AA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233096">
            <w:pPr>
              <w:jc w:val="left"/>
            </w:pPr>
          </w:p>
        </w:tc>
        <w:tc>
          <w:tcPr>
            <w:tcW w:w="1661" w:type="dxa"/>
            <w:vAlign w:val="center"/>
          </w:tcPr>
          <w:p w14:paraId="350C123F">
            <w:pPr>
              <w:jc w:val="left"/>
            </w:pPr>
            <w:r>
              <w:t>公开市场操作净投放</w:t>
            </w:r>
          </w:p>
        </w:tc>
        <w:tc>
          <w:tcPr>
            <w:tcW w:w="1661" w:type="dxa"/>
            <w:vAlign w:val="center"/>
          </w:tcPr>
          <w:p w14:paraId="2C57F0EB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36D321D3">
            <w:pPr>
              <w:jc w:val="left"/>
            </w:pPr>
            <w:r>
              <w:t>FOMC 声明措辞变化</w:t>
            </w:r>
          </w:p>
        </w:tc>
        <w:tc>
          <w:tcPr>
            <w:tcW w:w="1661" w:type="dxa"/>
            <w:vAlign w:val="center"/>
          </w:tcPr>
          <w:p w14:paraId="740D28D6">
            <w:pPr>
              <w:jc w:val="left"/>
            </w:pPr>
            <w:r>
              <w:t>Fed</w:t>
            </w:r>
          </w:p>
        </w:tc>
      </w:tr>
      <w:tr w14:paraId="1776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C3E8F45">
            <w:pPr>
              <w:jc w:val="left"/>
            </w:pPr>
            <w:r>
              <w:rPr>
                <w:b/>
              </w:rPr>
              <w:t>流动性</w:t>
            </w:r>
          </w:p>
        </w:tc>
        <w:tc>
          <w:tcPr>
            <w:tcW w:w="1661" w:type="dxa"/>
            <w:vAlign w:val="center"/>
          </w:tcPr>
          <w:p w14:paraId="2FF3AD19">
            <w:pPr>
              <w:jc w:val="left"/>
            </w:pPr>
            <w:r>
              <w:t>DR007</w:t>
            </w:r>
          </w:p>
        </w:tc>
        <w:tc>
          <w:tcPr>
            <w:tcW w:w="1661" w:type="dxa"/>
            <w:vAlign w:val="center"/>
          </w:tcPr>
          <w:p w14:paraId="73A18FD1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0DC59B27">
            <w:pPr>
              <w:jc w:val="left"/>
            </w:pPr>
            <w:r>
              <w:t>SOFR</w:t>
            </w:r>
          </w:p>
        </w:tc>
        <w:tc>
          <w:tcPr>
            <w:tcW w:w="1661" w:type="dxa"/>
            <w:vAlign w:val="center"/>
          </w:tcPr>
          <w:p w14:paraId="3E59B914">
            <w:pPr>
              <w:jc w:val="left"/>
            </w:pPr>
            <w:r>
              <w:t>NY Fed</w:t>
            </w:r>
          </w:p>
        </w:tc>
      </w:tr>
      <w:tr w14:paraId="4149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1B42599">
            <w:pPr>
              <w:jc w:val="left"/>
            </w:pPr>
          </w:p>
        </w:tc>
        <w:tc>
          <w:tcPr>
            <w:tcW w:w="1661" w:type="dxa"/>
            <w:vAlign w:val="center"/>
          </w:tcPr>
          <w:p w14:paraId="36FA0175">
            <w:pPr>
              <w:jc w:val="left"/>
            </w:pPr>
            <w:r>
              <w:t>SHIBOR 3M</w:t>
            </w:r>
          </w:p>
        </w:tc>
        <w:tc>
          <w:tcPr>
            <w:tcW w:w="1661" w:type="dxa"/>
            <w:vAlign w:val="center"/>
          </w:tcPr>
          <w:p w14:paraId="692819E5">
            <w:pPr>
              <w:jc w:val="left"/>
            </w:pPr>
            <w:r>
              <w:t>SHIBOR</w:t>
            </w:r>
          </w:p>
        </w:tc>
        <w:tc>
          <w:tcPr>
            <w:tcW w:w="1661" w:type="dxa"/>
            <w:vAlign w:val="center"/>
          </w:tcPr>
          <w:p w14:paraId="1D285DDA">
            <w:pPr>
              <w:jc w:val="left"/>
            </w:pPr>
            <w:r>
              <w:t>EFFR</w:t>
            </w:r>
          </w:p>
        </w:tc>
        <w:tc>
          <w:tcPr>
            <w:tcW w:w="1661" w:type="dxa"/>
            <w:vAlign w:val="center"/>
          </w:tcPr>
          <w:p w14:paraId="4E842584">
            <w:pPr>
              <w:jc w:val="left"/>
            </w:pPr>
            <w:r>
              <w:t>NY Fed</w:t>
            </w:r>
          </w:p>
        </w:tc>
      </w:tr>
      <w:tr w14:paraId="1A18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66FF5426">
            <w:pPr>
              <w:jc w:val="left"/>
            </w:pPr>
          </w:p>
        </w:tc>
        <w:tc>
          <w:tcPr>
            <w:tcW w:w="1661" w:type="dxa"/>
            <w:vAlign w:val="center"/>
          </w:tcPr>
          <w:p w14:paraId="0D6CC403">
            <w:pPr>
              <w:jc w:val="left"/>
            </w:pPr>
            <w:r>
              <w:t>社融存量同比</w:t>
            </w:r>
          </w:p>
        </w:tc>
        <w:tc>
          <w:tcPr>
            <w:tcW w:w="1661" w:type="dxa"/>
            <w:vAlign w:val="center"/>
          </w:tcPr>
          <w:p w14:paraId="248B7C17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570643B6">
            <w:pPr>
              <w:jc w:val="left"/>
            </w:pPr>
            <w:r>
              <w:t>信贷脉冲（Credit Pulse）</w:t>
            </w:r>
          </w:p>
        </w:tc>
        <w:tc>
          <w:tcPr>
            <w:tcW w:w="1661" w:type="dxa"/>
            <w:vAlign w:val="center"/>
          </w:tcPr>
          <w:p w14:paraId="49D33324">
            <w:pPr>
              <w:jc w:val="left"/>
            </w:pPr>
            <w:r>
              <w:t>BIS</w:t>
            </w:r>
          </w:p>
        </w:tc>
      </w:tr>
      <w:tr w14:paraId="3B27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0822080">
            <w:pPr>
              <w:jc w:val="left"/>
            </w:pPr>
          </w:p>
        </w:tc>
        <w:tc>
          <w:tcPr>
            <w:tcW w:w="1661" w:type="dxa"/>
            <w:vAlign w:val="center"/>
          </w:tcPr>
          <w:p w14:paraId="5AC75532">
            <w:pPr>
              <w:jc w:val="left"/>
            </w:pPr>
            <w:r>
              <w:t>M1 同比</w:t>
            </w:r>
          </w:p>
        </w:tc>
        <w:tc>
          <w:tcPr>
            <w:tcW w:w="1661" w:type="dxa"/>
            <w:vAlign w:val="center"/>
          </w:tcPr>
          <w:p w14:paraId="12919B5A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51615BFD">
            <w:pPr>
              <w:jc w:val="left"/>
            </w:pPr>
            <w:r>
              <w:t>M2 同比</w:t>
            </w:r>
          </w:p>
        </w:tc>
        <w:tc>
          <w:tcPr>
            <w:tcW w:w="1661" w:type="dxa"/>
            <w:vAlign w:val="center"/>
          </w:tcPr>
          <w:p w14:paraId="42644133">
            <w:pPr>
              <w:jc w:val="left"/>
            </w:pPr>
            <w:r>
              <w:t>Fed</w:t>
            </w:r>
          </w:p>
        </w:tc>
      </w:tr>
      <w:tr w14:paraId="48BF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36A21A0">
            <w:pPr>
              <w:jc w:val="left"/>
            </w:pPr>
          </w:p>
        </w:tc>
        <w:tc>
          <w:tcPr>
            <w:tcW w:w="1661" w:type="dxa"/>
            <w:vAlign w:val="center"/>
          </w:tcPr>
          <w:p w14:paraId="2BFCDBD3">
            <w:pPr>
              <w:jc w:val="left"/>
            </w:pPr>
            <w:r>
              <w:t>北向资金净流入</w:t>
            </w:r>
          </w:p>
        </w:tc>
        <w:tc>
          <w:tcPr>
            <w:tcW w:w="1661" w:type="dxa"/>
            <w:vAlign w:val="center"/>
          </w:tcPr>
          <w:p w14:paraId="6D2932B1">
            <w:pPr>
              <w:jc w:val="left"/>
            </w:pPr>
            <w:r>
              <w:t>HKEX</w:t>
            </w:r>
          </w:p>
        </w:tc>
        <w:tc>
          <w:tcPr>
            <w:tcW w:w="1661" w:type="dxa"/>
            <w:vAlign w:val="center"/>
          </w:tcPr>
          <w:p w14:paraId="6A8B8CAD">
            <w:pPr>
              <w:jc w:val="left"/>
            </w:pPr>
            <w:r>
              <w:t>海外资金流入美股</w:t>
            </w:r>
          </w:p>
        </w:tc>
        <w:tc>
          <w:tcPr>
            <w:tcW w:w="1661" w:type="dxa"/>
            <w:vAlign w:val="center"/>
          </w:tcPr>
          <w:p w14:paraId="458872F6">
            <w:pPr>
              <w:jc w:val="left"/>
            </w:pPr>
            <w:r>
              <w:t>Treasury/TIC</w:t>
            </w:r>
          </w:p>
        </w:tc>
      </w:tr>
      <w:tr w14:paraId="4480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0297062">
            <w:pPr>
              <w:jc w:val="left"/>
            </w:pPr>
            <w:r>
              <w:rPr>
                <w:b/>
              </w:rPr>
              <w:t>市场定价</w:t>
            </w:r>
          </w:p>
        </w:tc>
        <w:tc>
          <w:tcPr>
            <w:tcW w:w="1661" w:type="dxa"/>
            <w:vAlign w:val="center"/>
          </w:tcPr>
          <w:p w14:paraId="5EF22144">
            <w:pPr>
              <w:jc w:val="left"/>
            </w:pPr>
            <w:r>
              <w:t>10Y 国债收益率</w:t>
            </w:r>
          </w:p>
        </w:tc>
        <w:tc>
          <w:tcPr>
            <w:tcW w:w="1661" w:type="dxa"/>
            <w:vAlign w:val="center"/>
          </w:tcPr>
          <w:p w14:paraId="320D701A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0A0E818D">
            <w:pPr>
              <w:jc w:val="left"/>
            </w:pPr>
            <w:r>
              <w:t>10Y UST 收益率</w:t>
            </w:r>
          </w:p>
        </w:tc>
        <w:tc>
          <w:tcPr>
            <w:tcW w:w="1661" w:type="dxa"/>
            <w:vAlign w:val="center"/>
          </w:tcPr>
          <w:p w14:paraId="06328551">
            <w:pPr>
              <w:jc w:val="left"/>
            </w:pPr>
            <w:r>
              <w:t>Bloomberg</w:t>
            </w:r>
          </w:p>
        </w:tc>
      </w:tr>
      <w:tr w14:paraId="1175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DB1AF4E">
            <w:pPr>
              <w:jc w:val="left"/>
            </w:pPr>
          </w:p>
        </w:tc>
        <w:tc>
          <w:tcPr>
            <w:tcW w:w="1661" w:type="dxa"/>
            <w:vAlign w:val="center"/>
          </w:tcPr>
          <w:p w14:paraId="2BC1B40A">
            <w:pPr>
              <w:jc w:val="left"/>
            </w:pPr>
            <w:r>
              <w:t>A 股 ERP（沪深300）</w:t>
            </w:r>
          </w:p>
        </w:tc>
        <w:tc>
          <w:tcPr>
            <w:tcW w:w="1661" w:type="dxa"/>
            <w:vAlign w:val="center"/>
          </w:tcPr>
          <w:p w14:paraId="43CFA383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50172179">
            <w:pPr>
              <w:jc w:val="left"/>
            </w:pPr>
            <w:r>
              <w:t>S&amp;P 500 ERP</w:t>
            </w:r>
          </w:p>
        </w:tc>
        <w:tc>
          <w:tcPr>
            <w:tcW w:w="1661" w:type="dxa"/>
            <w:vAlign w:val="center"/>
          </w:tcPr>
          <w:p w14:paraId="1326087F">
            <w:pPr>
              <w:jc w:val="left"/>
            </w:pPr>
            <w:r>
              <w:t>Bloomberg</w:t>
            </w:r>
          </w:p>
        </w:tc>
      </w:tr>
      <w:tr w14:paraId="2E12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F49B2FC">
            <w:pPr>
              <w:jc w:val="left"/>
            </w:pPr>
          </w:p>
        </w:tc>
        <w:tc>
          <w:tcPr>
            <w:tcW w:w="1661" w:type="dxa"/>
            <w:vAlign w:val="center"/>
          </w:tcPr>
          <w:p w14:paraId="20D6D01A">
            <w:pPr>
              <w:jc w:val="left"/>
            </w:pPr>
            <w:r>
              <w:t>AA 信用利差</w:t>
            </w:r>
          </w:p>
        </w:tc>
        <w:tc>
          <w:tcPr>
            <w:tcW w:w="1661" w:type="dxa"/>
            <w:vAlign w:val="center"/>
          </w:tcPr>
          <w:p w14:paraId="354372A5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7C759126">
            <w:pPr>
              <w:jc w:val="left"/>
            </w:pPr>
            <w:r>
              <w:t>US IG/ HY 利差</w:t>
            </w:r>
          </w:p>
        </w:tc>
        <w:tc>
          <w:tcPr>
            <w:tcW w:w="1661" w:type="dxa"/>
            <w:vAlign w:val="center"/>
          </w:tcPr>
          <w:p w14:paraId="0FA64E6B">
            <w:pPr>
              <w:jc w:val="left"/>
            </w:pPr>
            <w:r>
              <w:t>ICE BofA</w:t>
            </w:r>
          </w:p>
        </w:tc>
      </w:tr>
      <w:tr w14:paraId="64AF1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AE951AB">
            <w:pPr>
              <w:jc w:val="left"/>
            </w:pPr>
          </w:p>
        </w:tc>
        <w:tc>
          <w:tcPr>
            <w:tcW w:w="1661" w:type="dxa"/>
            <w:vAlign w:val="center"/>
          </w:tcPr>
          <w:p w14:paraId="08491D7B">
            <w:pPr>
              <w:jc w:val="left"/>
            </w:pPr>
            <w:r>
              <w:t>USD/CNH</w:t>
            </w:r>
          </w:p>
        </w:tc>
        <w:tc>
          <w:tcPr>
            <w:tcW w:w="1661" w:type="dxa"/>
            <w:vAlign w:val="center"/>
          </w:tcPr>
          <w:p w14:paraId="014CA15B">
            <w:pPr>
              <w:jc w:val="left"/>
            </w:pPr>
            <w:r>
              <w:t>HKMA/CNBC</w:t>
            </w:r>
          </w:p>
        </w:tc>
        <w:tc>
          <w:tcPr>
            <w:tcW w:w="1661" w:type="dxa"/>
            <w:vAlign w:val="center"/>
          </w:tcPr>
          <w:p w14:paraId="14012820">
            <w:pPr>
              <w:jc w:val="left"/>
            </w:pPr>
            <w:r>
              <w:t>DXY</w:t>
            </w:r>
          </w:p>
        </w:tc>
        <w:tc>
          <w:tcPr>
            <w:tcW w:w="1661" w:type="dxa"/>
            <w:vAlign w:val="center"/>
          </w:tcPr>
          <w:p w14:paraId="7818CC62">
            <w:pPr>
              <w:jc w:val="left"/>
            </w:pPr>
            <w:r>
              <w:t>Fed/Bloomberg</w:t>
            </w:r>
          </w:p>
        </w:tc>
      </w:tr>
    </w:tbl>
    <w:p w14:paraId="2F3AFCF5">
      <w:pPr>
        <w:pStyle w:val="4"/>
      </w:pPr>
      <w:r>
        <w:rPr>
          <w:b/>
        </w:rPr>
        <w:t>跨国信号生成方式：</w:t>
      </w:r>
      <w:r>
        <w:t xml:space="preserve"> 对每个维度计算中国值 − 美国值（增长差、通胀差等）或中国值/美国值（相对估值），做 5 年滚动 z-score，生成跨国信号序列。</w:t>
      </w:r>
    </w:p>
    <w:p w14:paraId="6645BC65">
      <w:pPr>
        <w:pBdr>
          <w:bottom w:val="single" w:color="auto" w:sz="8" w:space="0"/>
        </w:pBdr>
      </w:pPr>
    </w:p>
    <w:p w14:paraId="1E1911F5">
      <w:pPr>
        <w:pStyle w:val="9"/>
      </w:pPr>
      <w:r>
        <w:t>0.3 中美交互传导通道</w:t>
      </w:r>
    </w:p>
    <w:p w14:paraId="1462370D">
      <w:pPr>
        <w:pStyle w:val="4"/>
      </w:pPr>
      <w:r>
        <w:t>显式建模 6 条传导通道，每条标注完整的传导链路和捕捉位置：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FFF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7E63B0B">
            <w:pPr>
              <w:jc w:val="left"/>
            </w:pPr>
            <w:r>
              <w:t>#</w:t>
            </w:r>
          </w:p>
        </w:tc>
        <w:tc>
          <w:tcPr>
            <w:tcW w:w="1384" w:type="dxa"/>
            <w:vAlign w:val="center"/>
          </w:tcPr>
          <w:p w14:paraId="01A1304A">
            <w:pPr>
              <w:jc w:val="left"/>
            </w:pPr>
            <w:r>
              <w:t>通道名称</w:t>
            </w:r>
          </w:p>
        </w:tc>
        <w:tc>
          <w:tcPr>
            <w:tcW w:w="1384" w:type="dxa"/>
            <w:vAlign w:val="center"/>
          </w:tcPr>
          <w:p w14:paraId="2099C80E">
            <w:pPr>
              <w:jc w:val="left"/>
            </w:pPr>
            <w:r>
              <w:t>起点变量</w:t>
            </w:r>
          </w:p>
        </w:tc>
        <w:tc>
          <w:tcPr>
            <w:tcW w:w="1384" w:type="dxa"/>
            <w:vAlign w:val="center"/>
          </w:tcPr>
          <w:p w14:paraId="1F2B5DC5">
            <w:pPr>
              <w:jc w:val="left"/>
            </w:pPr>
            <w:r>
              <w:t>中介变量</w:t>
            </w:r>
          </w:p>
        </w:tc>
        <w:tc>
          <w:tcPr>
            <w:tcW w:w="1384" w:type="dxa"/>
            <w:vAlign w:val="center"/>
          </w:tcPr>
          <w:p w14:paraId="742BF199">
            <w:pPr>
              <w:jc w:val="left"/>
            </w:pPr>
            <w:r>
              <w:t>终点资产/变量</w:t>
            </w:r>
          </w:p>
        </w:tc>
        <w:tc>
          <w:tcPr>
            <w:tcW w:w="1384" w:type="dxa"/>
            <w:vAlign w:val="center"/>
          </w:tcPr>
          <w:p w14:paraId="729EBDE1">
            <w:pPr>
              <w:jc w:val="left"/>
            </w:pPr>
            <w:r>
              <w:t>捕捉位置</w:t>
            </w:r>
          </w:p>
        </w:tc>
      </w:tr>
      <w:tr w14:paraId="0E12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BF9300D">
            <w:pPr>
              <w:jc w:val="left"/>
            </w:pPr>
            <w:r>
              <w:t>1</w:t>
            </w:r>
          </w:p>
        </w:tc>
        <w:tc>
          <w:tcPr>
            <w:tcW w:w="1384" w:type="dxa"/>
            <w:vAlign w:val="center"/>
          </w:tcPr>
          <w:p w14:paraId="4134C637">
            <w:pPr>
              <w:jc w:val="left"/>
            </w:pPr>
            <w:r>
              <w:t>利差→资本流→A 股</w:t>
            </w:r>
          </w:p>
        </w:tc>
        <w:tc>
          <w:tcPr>
            <w:tcW w:w="1384" w:type="dxa"/>
            <w:vAlign w:val="center"/>
          </w:tcPr>
          <w:p w14:paraId="17F96461">
            <w:pPr>
              <w:jc w:val="left"/>
            </w:pPr>
            <w:r>
              <w:t>中美 10Y 利差</w:t>
            </w:r>
          </w:p>
        </w:tc>
        <w:tc>
          <w:tcPr>
            <w:tcW w:w="1384" w:type="dxa"/>
            <w:vAlign w:val="center"/>
          </w:tcPr>
          <w:p w14:paraId="7108DF5F">
            <w:pPr>
              <w:jc w:val="left"/>
            </w:pPr>
            <w:r>
              <w:t>北向资金净流入</w:t>
            </w:r>
          </w:p>
        </w:tc>
        <w:tc>
          <w:tcPr>
            <w:tcW w:w="1384" w:type="dxa"/>
            <w:vAlign w:val="center"/>
          </w:tcPr>
          <w:p w14:paraId="1EAA9182">
            <w:pPr>
              <w:jc w:val="left"/>
            </w:pPr>
            <w:r>
              <w:t>A 股核心资产（沪深300/茅指数）</w:t>
            </w:r>
          </w:p>
        </w:tc>
        <w:tc>
          <w:tcPr>
            <w:tcW w:w="1384" w:type="dxa"/>
            <w:vAlign w:val="center"/>
          </w:tcPr>
          <w:p w14:paraId="7D4D0DC3">
            <w:pPr>
              <w:jc w:val="left"/>
            </w:pPr>
            <w:r>
              <w:t>Layer 0 利差维度 + Layer 1 FCI</w:t>
            </w:r>
          </w:p>
        </w:tc>
      </w:tr>
      <w:tr w14:paraId="08FA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A1470F6">
            <w:pPr>
              <w:jc w:val="left"/>
            </w:pPr>
            <w:r>
              <w:t>2</w:t>
            </w:r>
          </w:p>
        </w:tc>
        <w:tc>
          <w:tcPr>
            <w:tcW w:w="1384" w:type="dxa"/>
            <w:vAlign w:val="center"/>
          </w:tcPr>
          <w:p w14:paraId="75B9C86F">
            <w:pPr>
              <w:jc w:val="left"/>
            </w:pPr>
            <w:r>
              <w:t>美元→大宗→PPI→周期股</w:t>
            </w:r>
          </w:p>
        </w:tc>
        <w:tc>
          <w:tcPr>
            <w:tcW w:w="1384" w:type="dxa"/>
            <w:vAlign w:val="center"/>
          </w:tcPr>
          <w:p w14:paraId="25A3C618">
            <w:pPr>
              <w:jc w:val="left"/>
            </w:pPr>
            <w:r>
              <w:t>美元指数（DXY）</w:t>
            </w:r>
          </w:p>
        </w:tc>
        <w:tc>
          <w:tcPr>
            <w:tcW w:w="1384" w:type="dxa"/>
            <w:vAlign w:val="center"/>
          </w:tcPr>
          <w:p w14:paraId="5B397CC1">
            <w:pPr>
              <w:jc w:val="left"/>
            </w:pPr>
            <w:r>
              <w:t>黄金/铜/黄金/铜</w:t>
            </w:r>
          </w:p>
        </w:tc>
        <w:tc>
          <w:tcPr>
            <w:tcW w:w="1384" w:type="dxa"/>
            <w:vAlign w:val="center"/>
          </w:tcPr>
          <w:p w14:paraId="12BE7A50">
            <w:pPr>
              <w:jc w:val="left"/>
            </w:pPr>
            <w:r>
              <w:t>A 股周期股、PPI</w:t>
            </w:r>
          </w:p>
        </w:tc>
        <w:tc>
          <w:tcPr>
            <w:tcW w:w="1384" w:type="dxa"/>
            <w:vAlign w:val="center"/>
          </w:tcPr>
          <w:p w14:paraId="7483880C">
            <w:pPr>
              <w:jc w:val="left"/>
            </w:pPr>
            <w:r>
              <w:t>Layer 2.5 大宗子模块</w:t>
            </w:r>
          </w:p>
        </w:tc>
      </w:tr>
      <w:tr w14:paraId="27D8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7E9D78E">
            <w:pPr>
              <w:jc w:val="left"/>
            </w:pPr>
            <w:r>
              <w:t>3</w:t>
            </w:r>
          </w:p>
        </w:tc>
        <w:tc>
          <w:tcPr>
            <w:tcW w:w="1384" w:type="dxa"/>
            <w:vAlign w:val="center"/>
          </w:tcPr>
          <w:p w14:paraId="187A1B21">
            <w:pPr>
              <w:jc w:val="left"/>
            </w:pPr>
            <w:r>
              <w:t>美联储→风险偏好→港股</w:t>
            </w:r>
          </w:p>
        </w:tc>
        <w:tc>
          <w:tcPr>
            <w:tcW w:w="1384" w:type="dxa"/>
            <w:vAlign w:val="center"/>
          </w:tcPr>
          <w:p w14:paraId="09F13443">
            <w:pPr>
              <w:jc w:val="left"/>
            </w:pPr>
            <w:r>
              <w:t>美国实际利率（TIPS）</w:t>
            </w:r>
          </w:p>
        </w:tc>
        <w:tc>
          <w:tcPr>
            <w:tcW w:w="1384" w:type="dxa"/>
            <w:vAlign w:val="center"/>
          </w:tcPr>
          <w:p w14:paraId="138D0CE4">
            <w:pPr>
              <w:jc w:val="left"/>
            </w:pPr>
            <w:r>
              <w:t>VIX、美元流动性（FRA-OIS）</w:t>
            </w:r>
          </w:p>
        </w:tc>
        <w:tc>
          <w:tcPr>
            <w:tcW w:w="1384" w:type="dxa"/>
            <w:vAlign w:val="center"/>
          </w:tcPr>
          <w:p w14:paraId="62E1FE84">
            <w:pPr>
              <w:jc w:val="left"/>
            </w:pPr>
            <w:r>
              <w:t>港股、长久期成长股</w:t>
            </w:r>
          </w:p>
        </w:tc>
        <w:tc>
          <w:tcPr>
            <w:tcW w:w="1384" w:type="dxa"/>
            <w:vAlign w:val="center"/>
          </w:tcPr>
          <w:p w14:paraId="7409FC53">
            <w:pPr>
              <w:jc w:val="left"/>
            </w:pPr>
            <w:r>
              <w:t>Layer 0 流动性维度 + Layer 1 FCI</w:t>
            </w:r>
          </w:p>
        </w:tc>
      </w:tr>
      <w:tr w14:paraId="4B63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44FC4EA">
            <w:pPr>
              <w:jc w:val="left"/>
            </w:pPr>
            <w:r>
              <w:t>4</w:t>
            </w:r>
          </w:p>
        </w:tc>
        <w:tc>
          <w:tcPr>
            <w:tcW w:w="1384" w:type="dxa"/>
            <w:vAlign w:val="center"/>
          </w:tcPr>
          <w:p w14:paraId="3A2496C1">
            <w:pPr>
              <w:jc w:val="left"/>
            </w:pPr>
            <w:r>
              <w:t>中国信贷→全球大宗</w:t>
            </w:r>
          </w:p>
        </w:tc>
        <w:tc>
          <w:tcPr>
            <w:tcW w:w="1384" w:type="dxa"/>
            <w:vAlign w:val="center"/>
          </w:tcPr>
          <w:p w14:paraId="3F0F31CA">
            <w:pPr>
              <w:jc w:val="left"/>
            </w:pPr>
            <w:r>
              <w:t>中国社融脉冲（12M 滚动）</w:t>
            </w:r>
          </w:p>
        </w:tc>
        <w:tc>
          <w:tcPr>
            <w:tcW w:w="1384" w:type="dxa"/>
            <w:vAlign w:val="center"/>
          </w:tcPr>
          <w:p w14:paraId="14F801BC">
            <w:pPr>
              <w:jc w:val="left"/>
            </w:pPr>
            <w:r>
              <w:t>铁矿石、铜价</w:t>
            </w:r>
          </w:p>
        </w:tc>
        <w:tc>
          <w:tcPr>
            <w:tcW w:w="1384" w:type="dxa"/>
            <w:vAlign w:val="center"/>
          </w:tcPr>
          <w:p w14:paraId="35EBE250">
            <w:pPr>
              <w:jc w:val="left"/>
            </w:pPr>
            <w:r>
              <w:t>全球周期资产</w:t>
            </w:r>
          </w:p>
        </w:tc>
        <w:tc>
          <w:tcPr>
            <w:tcW w:w="1384" w:type="dxa"/>
            <w:vAlign w:val="center"/>
          </w:tcPr>
          <w:p w14:paraId="68391F6D">
            <w:pPr>
              <w:jc w:val="left"/>
            </w:pPr>
            <w:r>
              <w:t>Layer 1 CAI 信用维度 + Layer 2.5</w:t>
            </w:r>
          </w:p>
        </w:tc>
      </w:tr>
      <w:tr w14:paraId="24C7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326784D">
            <w:pPr>
              <w:jc w:val="left"/>
            </w:pPr>
            <w:r>
              <w:t>5</w:t>
            </w:r>
          </w:p>
        </w:tc>
        <w:tc>
          <w:tcPr>
            <w:tcW w:w="1384" w:type="dxa"/>
            <w:vAlign w:val="center"/>
          </w:tcPr>
          <w:p w14:paraId="371E4B07">
            <w:pPr>
              <w:jc w:val="left"/>
            </w:pPr>
            <w:r>
              <w:t>全球 PMI→中国出口</w:t>
            </w:r>
          </w:p>
        </w:tc>
        <w:tc>
          <w:tcPr>
            <w:tcW w:w="1384" w:type="dxa"/>
            <w:vAlign w:val="center"/>
          </w:tcPr>
          <w:p w14:paraId="3F404C31">
            <w:pPr>
              <w:jc w:val="left"/>
            </w:pPr>
            <w:r>
              <w:t>全球制造业 PMI</w:t>
            </w:r>
          </w:p>
        </w:tc>
        <w:tc>
          <w:tcPr>
            <w:tcW w:w="1384" w:type="dxa"/>
            <w:vAlign w:val="center"/>
          </w:tcPr>
          <w:p w14:paraId="2AB44315">
            <w:pPr>
              <w:jc w:val="left"/>
            </w:pPr>
            <w:r>
              <w:t>韩国/越南出口同比</w:t>
            </w:r>
          </w:p>
        </w:tc>
        <w:tc>
          <w:tcPr>
            <w:tcW w:w="1384" w:type="dxa"/>
            <w:vAlign w:val="center"/>
          </w:tcPr>
          <w:p w14:paraId="45F1BA40">
            <w:pPr>
              <w:jc w:val="left"/>
            </w:pPr>
            <w:r>
              <w:t>中国出口、制造业股</w:t>
            </w:r>
          </w:p>
        </w:tc>
        <w:tc>
          <w:tcPr>
            <w:tcW w:w="1384" w:type="dxa"/>
            <w:vAlign w:val="center"/>
          </w:tcPr>
          <w:p w14:paraId="29532417">
            <w:pPr>
              <w:jc w:val="left"/>
            </w:pPr>
            <w:r>
              <w:t>Layer 0 增长维度</w:t>
            </w:r>
          </w:p>
        </w:tc>
      </w:tr>
      <w:tr w14:paraId="6CF3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05B9242">
            <w:pPr>
              <w:jc w:val="left"/>
            </w:pPr>
            <w:r>
              <w:t>6</w:t>
            </w:r>
          </w:p>
        </w:tc>
        <w:tc>
          <w:tcPr>
            <w:tcW w:w="1384" w:type="dxa"/>
            <w:vAlign w:val="center"/>
          </w:tcPr>
          <w:p w14:paraId="731C16F9">
            <w:pPr>
              <w:jc w:val="left"/>
            </w:pPr>
            <w:r>
              <w:t>地缘政治→风险溢价</w:t>
            </w:r>
          </w:p>
        </w:tc>
        <w:tc>
          <w:tcPr>
            <w:tcW w:w="1384" w:type="dxa"/>
            <w:vAlign w:val="center"/>
          </w:tcPr>
          <w:p w14:paraId="54DB63C9">
            <w:pPr>
              <w:jc w:val="left"/>
            </w:pPr>
            <w:r>
              <w:t>中美关系事件（关税/制裁/对话）</w:t>
            </w:r>
          </w:p>
        </w:tc>
        <w:tc>
          <w:tcPr>
            <w:tcW w:w="1384" w:type="dxa"/>
            <w:vAlign w:val="center"/>
          </w:tcPr>
          <w:p w14:paraId="207B23E3">
            <w:pPr>
              <w:jc w:val="left"/>
            </w:pPr>
            <w:r>
              <w:t>VIX、CNH 波动率</w:t>
            </w:r>
          </w:p>
        </w:tc>
        <w:tc>
          <w:tcPr>
            <w:tcW w:w="1384" w:type="dxa"/>
            <w:vAlign w:val="center"/>
          </w:tcPr>
          <w:p w14:paraId="01D13844">
            <w:pPr>
              <w:jc w:val="left"/>
            </w:pPr>
            <w:r>
              <w:t>港股、CNH、半导体</w:t>
            </w:r>
          </w:p>
        </w:tc>
        <w:tc>
          <w:tcPr>
            <w:tcW w:w="1384" w:type="dxa"/>
            <w:vAlign w:val="center"/>
          </w:tcPr>
          <w:p w14:paraId="38DCF74A">
            <w:pPr>
              <w:jc w:val="left"/>
            </w:pPr>
            <w:r>
              <w:t>Layer 0 + Layer 2.5 汇率子模块</w:t>
            </w:r>
          </w:p>
        </w:tc>
      </w:tr>
    </w:tbl>
    <w:p w14:paraId="4B1DD096">
      <w:pPr>
        <w:pStyle w:val="4"/>
      </w:pPr>
      <w:r>
        <w:rPr>
          <w:b/>
        </w:rPr>
        <w:t>三种交互层次说明：</w:t>
      </w:r>
    </w:p>
    <w:p w14:paraId="372E4D7F">
      <w:pPr>
        <w:pStyle w:val="4"/>
        <w:numPr>
          <w:ilvl w:val="0"/>
          <w:numId w:val="10"/>
        </w:numPr>
      </w:pPr>
      <w:r>
        <w:rPr>
          <w:b/>
        </w:rPr>
        <w:t>对称交互</w:t>
      </w:r>
      <w:r>
        <w:t>——中美处于同一周期阶段时的共振。例如 2020Q2-Q4 中美同步宽松，双向正反馈。捕捉方式：两国 CAI/FCI 同向移动 + 跨国差值稳定。</w:t>
      </w:r>
    </w:p>
    <w:p w14:paraId="2F917BEF">
      <w:pPr>
        <w:pStyle w:val="4"/>
        <w:numPr>
          <w:ilvl w:val="0"/>
          <w:numId w:val="10"/>
        </w:numPr>
      </w:pPr>
      <w:r>
        <w:rPr>
          <w:b/>
        </w:rPr>
        <w:t>非对称传导</w:t>
      </w:r>
      <w:r>
        <w:t>——一方政策变化通过上述 6 条通道单向传导至另一方资产。例如 2022 年美联储加息 → 通道 1/3 传导 → A 股/港股承压，但中国宽松并未反向传导至美国。捕捉方式：6 条通道的起点变量触发 + 中介变量异动。</w:t>
      </w:r>
    </w:p>
    <w:p w14:paraId="7FA21262">
      <w:pPr>
        <w:pStyle w:val="4"/>
        <w:numPr>
          <w:ilvl w:val="0"/>
          <w:numId w:val="10"/>
        </w:numPr>
      </w:pPr>
      <w:r>
        <w:rPr>
          <w:b/>
        </w:rPr>
        <w:t>反馈循环</w:t>
      </w:r>
      <w:r>
        <w:t>——通道间形成闭环。例如：中国信用收缩 → 通道 4（中国信贷→大宗）→ 大宗下跌 → 通道 2（美元→大宗→PPI）→ 中国 PPI 下行 → 信用进一步收缩。捕捉方式：两条以上通道同时触发 + 中介变量方向一致时升级警报。</w:t>
      </w:r>
    </w:p>
    <w:p w14:paraId="75A2D20F">
      <w:pPr>
        <w:pStyle w:val="4"/>
      </w:pPr>
      <w:r>
        <w:rPr>
          <w:b/>
        </w:rPr>
        <w:t>Layer 0 输出结果：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660C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7A0AB7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5C2551DB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0907F307">
            <w:pPr>
              <w:jc w:val="left"/>
            </w:pPr>
            <w:r>
              <w:t>频率</w:t>
            </w:r>
          </w:p>
        </w:tc>
      </w:tr>
      <w:tr w14:paraId="6E38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7406FB9">
            <w:pPr>
              <w:jc w:val="left"/>
            </w:pPr>
            <w:r>
              <w:t>两国 5 维度指标面板</w:t>
            </w:r>
          </w:p>
        </w:tc>
        <w:tc>
          <w:tcPr>
            <w:tcW w:w="2076" w:type="dxa"/>
            <w:vAlign w:val="center"/>
          </w:tcPr>
          <w:p w14:paraId="09EF62EF">
            <w:pPr>
              <w:jc w:val="left"/>
            </w:pPr>
            <w:r>
              <w:t>数值表 + z-score</w:t>
            </w:r>
          </w:p>
        </w:tc>
        <w:tc>
          <w:tcPr>
            <w:tcW w:w="2076" w:type="dxa"/>
            <w:vAlign w:val="center"/>
          </w:tcPr>
          <w:p w14:paraId="35ECBF1C">
            <w:pPr>
              <w:jc w:val="left"/>
            </w:pPr>
            <w:r>
              <w:t>月度</w:t>
            </w:r>
          </w:p>
        </w:tc>
      </w:tr>
      <w:tr w14:paraId="3BAB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B26DDB9">
            <w:pPr>
              <w:jc w:val="left"/>
            </w:pPr>
            <w:r>
              <w:t>跨国差值/比值信号</w:t>
            </w:r>
          </w:p>
        </w:tc>
        <w:tc>
          <w:tcPr>
            <w:tcW w:w="2076" w:type="dxa"/>
            <w:vAlign w:val="center"/>
          </w:tcPr>
          <w:p w14:paraId="5EEE4B64">
            <w:pPr>
              <w:jc w:val="left"/>
            </w:pPr>
            <w:r>
              <w:t>z-score 序列</w:t>
            </w:r>
          </w:p>
        </w:tc>
        <w:tc>
          <w:tcPr>
            <w:tcW w:w="2076" w:type="dxa"/>
            <w:vAlign w:val="center"/>
          </w:tcPr>
          <w:p w14:paraId="0959A6FC">
            <w:pPr>
              <w:jc w:val="left"/>
            </w:pPr>
            <w:r>
              <w:t>月度</w:t>
            </w:r>
          </w:p>
        </w:tc>
      </w:tr>
      <w:tr w14:paraId="75C7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C0E5C31">
            <w:pPr>
              <w:jc w:val="left"/>
            </w:pPr>
            <w:r>
              <w:t>6 条通道触发状态</w:t>
            </w:r>
          </w:p>
        </w:tc>
        <w:tc>
          <w:tcPr>
            <w:tcW w:w="2076" w:type="dxa"/>
            <w:vAlign w:val="center"/>
          </w:tcPr>
          <w:p w14:paraId="0A96C823">
            <w:pPr>
              <w:jc w:val="left"/>
            </w:pPr>
            <w:r>
              <w:t>触发/未触发 + 传导强度</w:t>
            </w:r>
          </w:p>
        </w:tc>
        <w:tc>
          <w:tcPr>
            <w:tcW w:w="2076" w:type="dxa"/>
            <w:vAlign w:val="center"/>
          </w:tcPr>
          <w:p w14:paraId="04C3C2C6">
            <w:pPr>
              <w:jc w:val="left"/>
            </w:pPr>
            <w:r>
              <w:t>周度</w:t>
            </w:r>
          </w:p>
        </w:tc>
      </w:tr>
      <w:tr w14:paraId="1115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CB426C7">
            <w:pPr>
              <w:jc w:val="left"/>
            </w:pPr>
            <w:r>
              <w:t>交互层次判定</w:t>
            </w:r>
          </w:p>
        </w:tc>
        <w:tc>
          <w:tcPr>
            <w:tcW w:w="2076" w:type="dxa"/>
            <w:vAlign w:val="center"/>
          </w:tcPr>
          <w:p w14:paraId="0DC3C0C3">
            <w:pPr>
              <w:jc w:val="left"/>
            </w:pPr>
            <w:r>
              <w:t>对称/非对称/反馈循环</w:t>
            </w:r>
          </w:p>
        </w:tc>
        <w:tc>
          <w:tcPr>
            <w:tcW w:w="2076" w:type="dxa"/>
            <w:vAlign w:val="center"/>
          </w:tcPr>
          <w:p w14:paraId="5E74F830">
            <w:pPr>
              <w:jc w:val="left"/>
            </w:pPr>
            <w:r>
              <w:t>周度</w:t>
            </w:r>
          </w:p>
        </w:tc>
      </w:tr>
    </w:tbl>
    <w:p w14:paraId="7998F1B5">
      <w:pPr>
        <w:pStyle w:val="4"/>
      </w:pPr>
      <w:r>
        <w:rPr>
          <w:b/>
        </w:rPr>
        <w:t>数据流向：</w:t>
      </w:r>
      <w:r>
        <w:t xml:space="preserve"> Layer 0 输出 → Layer 1（CAI/FCI 合成输入）→ Layer 2 → Layer 2.5 → Layer 3 → Layer 4 → Layer 4.5 → Layer 5</w:t>
      </w:r>
    </w:p>
    <w:p w14:paraId="3E904CA2">
      <w:pPr>
        <w:pBdr>
          <w:bottom w:val="single" w:color="auto" w:sz="8" w:space="0"/>
        </w:pBdr>
      </w:pPr>
    </w:p>
    <w:p w14:paraId="1E05B1C3">
      <w:pPr>
        <w:pStyle w:val="7"/>
      </w:pPr>
      <w:r>
        <w:t>Layer 1：状态识别——CAI/FCI 合成指标</w:t>
      </w:r>
    </w:p>
    <w:p w14:paraId="41279553">
      <w:pPr>
        <w:pStyle w:val="9"/>
      </w:pPr>
      <w:r>
        <w:t>1.1 核心工具：合成指标</w:t>
      </w:r>
    </w:p>
    <w:p w14:paraId="25D2570E">
      <w:pPr>
        <w:pStyle w:val="4"/>
      </w:pPr>
      <w:r>
        <w:t>单指标噪声大、方向不一致，直接使用容易产生误判。合成指标（synthetic indicator）通过多指标加权聚合，提取共性信号、压制个体噪声。</w:t>
      </w:r>
    </w:p>
    <w:p w14:paraId="44B8D208">
      <w:pPr>
        <w:pStyle w:val="4"/>
      </w:pPr>
      <w:r>
        <w:t>引入两个核心工具：</w:t>
      </w:r>
    </w:p>
    <w:p w14:paraId="48DDECAF">
      <w:pPr>
        <w:pStyle w:val="4"/>
        <w:numPr>
          <w:ilvl w:val="0"/>
          <w:numId w:val="11"/>
        </w:numPr>
      </w:pPr>
      <w:r>
        <w:rPr>
          <w:b/>
        </w:rPr>
        <w:t>CAI（Current Activity Indicator，实时活动指数）</w:t>
      </w:r>
      <w:r>
        <w:t>：实时 GDP 替代指标，回答"经济现在好不好"，捕捉增长方向与力度。</w:t>
      </w:r>
    </w:p>
    <w:p w14:paraId="1117FD1E">
      <w:pPr>
        <w:pStyle w:val="4"/>
        <w:numPr>
          <w:ilvl w:val="0"/>
          <w:numId w:val="11"/>
        </w:numPr>
      </w:pPr>
      <w:r>
        <w:rPr>
          <w:b/>
        </w:rPr>
        <w:t>FCI（Financial Conditions Index，金融条件指数）</w:t>
      </w:r>
      <w:r>
        <w:t>：流动性温度计，回答"金融环境松还是紧"，捕捉政策与市场的资金面状态。</w:t>
      </w:r>
    </w:p>
    <w:p w14:paraId="7ECAC3F5">
      <w:pPr>
        <w:pStyle w:val="4"/>
      </w:pPr>
      <w:r>
        <w:t>离散标签作为兜底（见 1.7 节），连续分数用于预期差信号计算和极端值判断。</w:t>
      </w:r>
    </w:p>
    <w:p w14:paraId="099D1EEF">
      <w:pPr>
        <w:pBdr>
          <w:bottom w:val="single" w:color="auto" w:sz="8" w:space="0"/>
        </w:pBdr>
      </w:pPr>
    </w:p>
    <w:p w14:paraId="75725D0D">
      <w:pPr>
        <w:pStyle w:val="9"/>
      </w:pPr>
      <w:r>
        <w:t>1.2 中国版 CAI 构建</w:t>
      </w:r>
    </w:p>
    <w:p w14:paraId="5CA00E95">
      <w:pPr>
        <w:pStyle w:val="8"/>
      </w:pPr>
      <w:r>
        <w:t>指标类别与具体指标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46B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6B2DF7B">
            <w:pPr>
              <w:jc w:val="left"/>
            </w:pPr>
            <w:r>
              <w:t>类别</w:t>
            </w:r>
          </w:p>
        </w:tc>
        <w:tc>
          <w:tcPr>
            <w:tcW w:w="1661" w:type="dxa"/>
            <w:vAlign w:val="center"/>
          </w:tcPr>
          <w:p w14:paraId="4952940B">
            <w:pPr>
              <w:jc w:val="left"/>
            </w:pPr>
            <w:r>
              <w:t>具体指标</w:t>
            </w:r>
          </w:p>
        </w:tc>
        <w:tc>
          <w:tcPr>
            <w:tcW w:w="1661" w:type="dxa"/>
            <w:vAlign w:val="center"/>
          </w:tcPr>
          <w:p w14:paraId="6CDC1EB3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35887195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66958BA6">
            <w:pPr>
              <w:jc w:val="left"/>
            </w:pPr>
            <w:r>
              <w:t>权重依据</w:t>
            </w:r>
          </w:p>
        </w:tc>
      </w:tr>
      <w:tr w14:paraId="7FCA1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037D73">
            <w:pPr>
              <w:jc w:val="left"/>
            </w:pPr>
            <w:r>
              <w:rPr>
                <w:b/>
              </w:rPr>
              <w:t>实体活动</w:t>
            </w:r>
          </w:p>
        </w:tc>
        <w:tc>
          <w:tcPr>
            <w:tcW w:w="1661" w:type="dxa"/>
            <w:vAlign w:val="center"/>
          </w:tcPr>
          <w:p w14:paraId="2367439C">
            <w:pPr>
              <w:jc w:val="left"/>
            </w:pPr>
            <w:r>
              <w:t>工业增加值同比</w:t>
            </w:r>
          </w:p>
        </w:tc>
        <w:tc>
          <w:tcPr>
            <w:tcW w:w="1661" w:type="dxa"/>
            <w:vAlign w:val="center"/>
          </w:tcPr>
          <w:p w14:paraId="4A3C028C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6C97E40B">
            <w:pPr>
              <w:jc w:val="left"/>
            </w:pPr>
            <w:r>
              <w:t>0.10</w:t>
            </w:r>
          </w:p>
        </w:tc>
        <w:tc>
          <w:tcPr>
            <w:tcW w:w="1661" w:type="dxa"/>
            <w:vAlign w:val="center"/>
          </w:tcPr>
          <w:p w14:paraId="3756D35E">
            <w:pPr>
              <w:jc w:val="left"/>
            </w:pPr>
            <w:r>
              <w:t>中国增长核心驱动力</w:t>
            </w:r>
          </w:p>
        </w:tc>
      </w:tr>
      <w:tr w14:paraId="613B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8C6020A">
            <w:pPr>
              <w:jc w:val="left"/>
            </w:pPr>
          </w:p>
        </w:tc>
        <w:tc>
          <w:tcPr>
            <w:tcW w:w="1661" w:type="dxa"/>
            <w:vAlign w:val="center"/>
          </w:tcPr>
          <w:p w14:paraId="11A8038F">
            <w:pPr>
              <w:jc w:val="left"/>
            </w:pPr>
            <w:r>
              <w:t>高技术制造业 PMI</w:t>
            </w:r>
          </w:p>
        </w:tc>
        <w:tc>
          <w:tcPr>
            <w:tcW w:w="1661" w:type="dxa"/>
            <w:vAlign w:val="center"/>
          </w:tcPr>
          <w:p w14:paraId="77C8143C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47C601A8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77762328">
            <w:pPr>
              <w:jc w:val="left"/>
            </w:pPr>
            <w:r>
              <w:t>AI 科技主线景气指标</w:t>
            </w:r>
          </w:p>
        </w:tc>
      </w:tr>
      <w:tr w14:paraId="75A0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1FD0258">
            <w:pPr>
              <w:jc w:val="left"/>
            </w:pPr>
          </w:p>
        </w:tc>
        <w:tc>
          <w:tcPr>
            <w:tcW w:w="1661" w:type="dxa"/>
            <w:vAlign w:val="center"/>
          </w:tcPr>
          <w:p w14:paraId="5F2925A7">
            <w:pPr>
              <w:jc w:val="left"/>
            </w:pPr>
            <w:r>
              <w:t>财新制造业 PMI</w:t>
            </w:r>
          </w:p>
        </w:tc>
        <w:tc>
          <w:tcPr>
            <w:tcW w:w="1661" w:type="dxa"/>
            <w:vAlign w:val="center"/>
          </w:tcPr>
          <w:p w14:paraId="5EB197EC">
            <w:pPr>
              <w:jc w:val="left"/>
            </w:pPr>
            <w:r>
              <w:t>Caixin/S&amp;P</w:t>
            </w:r>
          </w:p>
        </w:tc>
        <w:tc>
          <w:tcPr>
            <w:tcW w:w="1661" w:type="dxa"/>
            <w:vAlign w:val="center"/>
          </w:tcPr>
          <w:p w14:paraId="06808200">
            <w:pPr>
              <w:jc w:val="left"/>
            </w:pPr>
            <w:r>
              <w:t>0.08</w:t>
            </w:r>
          </w:p>
        </w:tc>
        <w:tc>
          <w:tcPr>
            <w:tcW w:w="1661" w:type="dxa"/>
            <w:vAlign w:val="center"/>
          </w:tcPr>
          <w:p w14:paraId="4A6A1310">
            <w:pPr>
              <w:jc w:val="left"/>
            </w:pPr>
            <w:r>
              <w:t>中小企业/出口型补充</w:t>
            </w:r>
          </w:p>
        </w:tc>
      </w:tr>
      <w:tr w14:paraId="553A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9C31EA8">
            <w:pPr>
              <w:jc w:val="left"/>
            </w:pPr>
          </w:p>
        </w:tc>
        <w:tc>
          <w:tcPr>
            <w:tcW w:w="1661" w:type="dxa"/>
            <w:vAlign w:val="center"/>
          </w:tcPr>
          <w:p w14:paraId="178D9B04">
            <w:pPr>
              <w:jc w:val="left"/>
            </w:pPr>
            <w:r>
              <w:t>统计局制造业 PMI</w:t>
            </w:r>
          </w:p>
        </w:tc>
        <w:tc>
          <w:tcPr>
            <w:tcW w:w="1661" w:type="dxa"/>
            <w:vAlign w:val="center"/>
          </w:tcPr>
          <w:p w14:paraId="0BB10569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31B279C9">
            <w:pPr>
              <w:jc w:val="left"/>
            </w:pPr>
            <w:r>
              <w:t>0.07</w:t>
            </w:r>
          </w:p>
        </w:tc>
        <w:tc>
          <w:tcPr>
            <w:tcW w:w="1661" w:type="dxa"/>
            <w:vAlign w:val="center"/>
          </w:tcPr>
          <w:p w14:paraId="5B48D97D">
            <w:pPr>
              <w:jc w:val="left"/>
            </w:pPr>
            <w:r>
              <w:t>大型企业景气</w:t>
            </w:r>
          </w:p>
        </w:tc>
      </w:tr>
      <w:tr w14:paraId="6693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599EBC7">
            <w:pPr>
              <w:jc w:val="left"/>
            </w:pPr>
            <w:r>
              <w:rPr>
                <w:b/>
              </w:rPr>
              <w:t>信用流动</w:t>
            </w:r>
          </w:p>
        </w:tc>
        <w:tc>
          <w:tcPr>
            <w:tcW w:w="1661" w:type="dxa"/>
            <w:vAlign w:val="center"/>
          </w:tcPr>
          <w:p w14:paraId="421F3387">
            <w:pPr>
              <w:jc w:val="left"/>
            </w:pPr>
            <w:r>
              <w:t>社融存量同比</w:t>
            </w:r>
          </w:p>
        </w:tc>
        <w:tc>
          <w:tcPr>
            <w:tcW w:w="1661" w:type="dxa"/>
            <w:vAlign w:val="center"/>
          </w:tcPr>
          <w:p w14:paraId="0F18BD32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2AA70BB6">
            <w:pPr>
              <w:jc w:val="left"/>
            </w:pPr>
            <w:r>
              <w:t>0.18</w:t>
            </w:r>
          </w:p>
        </w:tc>
        <w:tc>
          <w:tcPr>
            <w:tcW w:w="1661" w:type="dxa"/>
            <w:vAlign w:val="center"/>
          </w:tcPr>
          <w:p w14:paraId="386794CD">
            <w:pPr>
              <w:jc w:val="left"/>
            </w:pPr>
            <w:r>
              <w:t>信用脉冲对中国增长领先性最强</w:t>
            </w:r>
          </w:p>
        </w:tc>
      </w:tr>
      <w:tr w14:paraId="25E1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F5A04A3">
            <w:pPr>
              <w:jc w:val="left"/>
            </w:pPr>
          </w:p>
        </w:tc>
        <w:tc>
          <w:tcPr>
            <w:tcW w:w="1661" w:type="dxa"/>
            <w:vAlign w:val="center"/>
          </w:tcPr>
          <w:p w14:paraId="20F016E1">
            <w:pPr>
              <w:jc w:val="left"/>
            </w:pPr>
            <w:r>
              <w:t>信贷脉冲（12M 滚动新增/滚动 GDP）</w:t>
            </w:r>
          </w:p>
        </w:tc>
        <w:tc>
          <w:tcPr>
            <w:tcW w:w="1661" w:type="dxa"/>
            <w:vAlign w:val="center"/>
          </w:tcPr>
          <w:p w14:paraId="37F6823B">
            <w:pPr>
              <w:jc w:val="left"/>
            </w:pPr>
            <w:r>
              <w:t>自算/PBOC</w:t>
            </w:r>
          </w:p>
        </w:tc>
        <w:tc>
          <w:tcPr>
            <w:tcW w:w="1661" w:type="dxa"/>
            <w:vAlign w:val="center"/>
          </w:tcPr>
          <w:p w14:paraId="43BBF94C">
            <w:pPr>
              <w:jc w:val="left"/>
            </w:pPr>
            <w:r>
              <w:t>0.12</w:t>
            </w:r>
          </w:p>
        </w:tc>
        <w:tc>
          <w:tcPr>
            <w:tcW w:w="1661" w:type="dxa"/>
            <w:vAlign w:val="center"/>
          </w:tcPr>
          <w:p w14:paraId="313990F3">
            <w:pPr>
              <w:jc w:val="left"/>
            </w:pPr>
            <w:r>
              <w:t>更敏感的信用拐点捕捉</w:t>
            </w:r>
          </w:p>
        </w:tc>
      </w:tr>
      <w:tr w14:paraId="3534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6BFDF26C">
            <w:pPr>
              <w:jc w:val="left"/>
            </w:pPr>
            <w:r>
              <w:rPr>
                <w:b/>
              </w:rPr>
              <w:t>消费</w:t>
            </w:r>
          </w:p>
        </w:tc>
        <w:tc>
          <w:tcPr>
            <w:tcW w:w="1661" w:type="dxa"/>
            <w:vAlign w:val="center"/>
          </w:tcPr>
          <w:p w14:paraId="647B0372">
            <w:pPr>
              <w:jc w:val="left"/>
            </w:pPr>
            <w:r>
              <w:t>社会消费品零售总额同比</w:t>
            </w:r>
          </w:p>
        </w:tc>
        <w:tc>
          <w:tcPr>
            <w:tcW w:w="1661" w:type="dxa"/>
            <w:vAlign w:val="center"/>
          </w:tcPr>
          <w:p w14:paraId="2A2DB9BB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50239765">
            <w:pPr>
              <w:jc w:val="left"/>
            </w:pPr>
            <w:r>
              <w:t>0.10</w:t>
            </w:r>
          </w:p>
        </w:tc>
        <w:tc>
          <w:tcPr>
            <w:tcW w:w="1661" w:type="dxa"/>
            <w:vAlign w:val="center"/>
          </w:tcPr>
          <w:p w14:paraId="4E3770DB">
            <w:pPr>
              <w:jc w:val="left"/>
            </w:pPr>
            <w:r>
              <w:t>消费景气，三驾马车核心维度</w:t>
            </w:r>
          </w:p>
        </w:tc>
      </w:tr>
      <w:tr w14:paraId="0BFE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B92FAE3">
            <w:pPr>
              <w:jc w:val="left"/>
            </w:pPr>
          </w:p>
        </w:tc>
        <w:tc>
          <w:tcPr>
            <w:tcW w:w="1661" w:type="dxa"/>
            <w:vAlign w:val="center"/>
          </w:tcPr>
          <w:p w14:paraId="5B12B41C">
            <w:pPr>
              <w:jc w:val="left"/>
            </w:pPr>
            <w:r>
              <w:t>服务业生产指数同比</w:t>
            </w:r>
          </w:p>
        </w:tc>
        <w:tc>
          <w:tcPr>
            <w:tcW w:w="1661" w:type="dxa"/>
            <w:vAlign w:val="center"/>
          </w:tcPr>
          <w:p w14:paraId="0E014F63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36249647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1A901920">
            <w:pPr>
              <w:jc w:val="left"/>
            </w:pPr>
            <w:r>
              <w:t>服务消费高频代理</w:t>
            </w:r>
          </w:p>
        </w:tc>
      </w:tr>
      <w:tr w14:paraId="1970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5593B20">
            <w:pPr>
              <w:jc w:val="left"/>
            </w:pPr>
          </w:p>
        </w:tc>
        <w:tc>
          <w:tcPr>
            <w:tcW w:w="1661" w:type="dxa"/>
            <w:vAlign w:val="center"/>
          </w:tcPr>
          <w:p w14:paraId="5BAF546E">
            <w:pPr>
              <w:jc w:val="left"/>
            </w:pPr>
            <w:r>
              <w:t>乘用车销量同比</w:t>
            </w:r>
          </w:p>
        </w:tc>
        <w:tc>
          <w:tcPr>
            <w:tcW w:w="1661" w:type="dxa"/>
            <w:vAlign w:val="center"/>
          </w:tcPr>
          <w:p w14:paraId="297CAE33">
            <w:pPr>
              <w:jc w:val="left"/>
            </w:pPr>
            <w:r>
              <w:t>CPCA</w:t>
            </w:r>
          </w:p>
        </w:tc>
        <w:tc>
          <w:tcPr>
            <w:tcW w:w="1661" w:type="dxa"/>
            <w:vAlign w:val="center"/>
          </w:tcPr>
          <w:p w14:paraId="565CB6A1">
            <w:pPr>
              <w:jc w:val="left"/>
            </w:pPr>
            <w:r>
              <w:t>0.04</w:t>
            </w:r>
          </w:p>
        </w:tc>
        <w:tc>
          <w:tcPr>
            <w:tcW w:w="1661" w:type="dxa"/>
            <w:vAlign w:val="center"/>
          </w:tcPr>
          <w:p w14:paraId="7362E209">
            <w:pPr>
              <w:jc w:val="left"/>
            </w:pPr>
            <w:r>
              <w:t>大额可选消费高频代理</w:t>
            </w:r>
          </w:p>
        </w:tc>
      </w:tr>
      <w:tr w14:paraId="4BE3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19C6C20">
            <w:pPr>
              <w:jc w:val="left"/>
            </w:pPr>
            <w:r>
              <w:rPr>
                <w:b/>
              </w:rPr>
              <w:t>外需</w:t>
            </w:r>
          </w:p>
        </w:tc>
        <w:tc>
          <w:tcPr>
            <w:tcW w:w="1661" w:type="dxa"/>
            <w:vAlign w:val="center"/>
          </w:tcPr>
          <w:p w14:paraId="45B93129">
            <w:pPr>
              <w:jc w:val="left"/>
            </w:pPr>
            <w:r>
              <w:t>出口同比（美元计）</w:t>
            </w:r>
          </w:p>
        </w:tc>
        <w:tc>
          <w:tcPr>
            <w:tcW w:w="1661" w:type="dxa"/>
            <w:vAlign w:val="center"/>
          </w:tcPr>
          <w:p w14:paraId="40D1A80F">
            <w:pPr>
              <w:jc w:val="left"/>
            </w:pPr>
            <w:r>
              <w:t>Customs</w:t>
            </w:r>
          </w:p>
        </w:tc>
        <w:tc>
          <w:tcPr>
            <w:tcW w:w="1661" w:type="dxa"/>
            <w:vAlign w:val="center"/>
          </w:tcPr>
          <w:p w14:paraId="6636E5AE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628F6745">
            <w:pPr>
              <w:jc w:val="left"/>
            </w:pPr>
            <w:r>
              <w:t>外需景气</w:t>
            </w:r>
          </w:p>
        </w:tc>
      </w:tr>
      <w:tr w14:paraId="51AC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50016FAF">
            <w:pPr>
              <w:jc w:val="left"/>
            </w:pPr>
          </w:p>
        </w:tc>
        <w:tc>
          <w:tcPr>
            <w:tcW w:w="1661" w:type="dxa"/>
            <w:vAlign w:val="center"/>
          </w:tcPr>
          <w:p w14:paraId="1ACAAC66">
            <w:pPr>
              <w:jc w:val="left"/>
            </w:pPr>
            <w:r>
              <w:t>CCFI 运价指数</w:t>
            </w:r>
          </w:p>
        </w:tc>
        <w:tc>
          <w:tcPr>
            <w:tcW w:w="1661" w:type="dxa"/>
            <w:vAlign w:val="center"/>
          </w:tcPr>
          <w:p w14:paraId="63860E52">
            <w:pPr>
              <w:jc w:val="left"/>
            </w:pPr>
            <w:r>
              <w:t>SSE</w:t>
            </w:r>
          </w:p>
        </w:tc>
        <w:tc>
          <w:tcPr>
            <w:tcW w:w="1661" w:type="dxa"/>
            <w:vAlign w:val="center"/>
          </w:tcPr>
          <w:p w14:paraId="67BEB46C">
            <w:pPr>
              <w:jc w:val="left"/>
            </w:pPr>
            <w:r>
              <w:t>0.02</w:t>
            </w:r>
          </w:p>
        </w:tc>
        <w:tc>
          <w:tcPr>
            <w:tcW w:w="1661" w:type="dxa"/>
            <w:vAlign w:val="center"/>
          </w:tcPr>
          <w:p w14:paraId="32BA00EA">
            <w:pPr>
              <w:jc w:val="left"/>
            </w:pPr>
            <w:r>
              <w:t>外需高频代理</w:t>
            </w:r>
          </w:p>
        </w:tc>
      </w:tr>
      <w:tr w14:paraId="12E2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393E59A">
            <w:pPr>
              <w:jc w:val="left"/>
            </w:pPr>
            <w:r>
              <w:rPr>
                <w:b/>
              </w:rPr>
              <w:t>高频补充</w:t>
            </w:r>
          </w:p>
        </w:tc>
        <w:tc>
          <w:tcPr>
            <w:tcW w:w="1661" w:type="dxa"/>
            <w:vAlign w:val="center"/>
          </w:tcPr>
          <w:p w14:paraId="3DA56DB6">
            <w:pPr>
              <w:jc w:val="left"/>
            </w:pPr>
            <w:r>
              <w:t>发电耗煤同比</w:t>
            </w:r>
          </w:p>
        </w:tc>
        <w:tc>
          <w:tcPr>
            <w:tcW w:w="1661" w:type="dxa"/>
            <w:vAlign w:val="center"/>
          </w:tcPr>
          <w:p w14:paraId="39E67994">
            <w:pPr>
              <w:jc w:val="left"/>
            </w:pPr>
            <w:r>
              <w:t>CEC</w:t>
            </w:r>
          </w:p>
        </w:tc>
        <w:tc>
          <w:tcPr>
            <w:tcW w:w="1661" w:type="dxa"/>
            <w:vAlign w:val="center"/>
          </w:tcPr>
          <w:p w14:paraId="00211407">
            <w:pPr>
              <w:jc w:val="left"/>
            </w:pPr>
            <w:r>
              <w:t>0.04</w:t>
            </w:r>
          </w:p>
        </w:tc>
        <w:tc>
          <w:tcPr>
            <w:tcW w:w="1661" w:type="dxa"/>
            <w:vAlign w:val="center"/>
          </w:tcPr>
          <w:p w14:paraId="46EAB0C7">
            <w:pPr>
              <w:jc w:val="left"/>
            </w:pPr>
            <w:r>
              <w:t>生产端高频</w:t>
            </w:r>
          </w:p>
        </w:tc>
      </w:tr>
      <w:tr w14:paraId="2BB6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6725A1">
            <w:pPr>
              <w:jc w:val="left"/>
            </w:pPr>
          </w:p>
        </w:tc>
        <w:tc>
          <w:tcPr>
            <w:tcW w:w="1661" w:type="dxa"/>
            <w:vAlign w:val="center"/>
          </w:tcPr>
          <w:p w14:paraId="481DF352">
            <w:pPr>
              <w:jc w:val="left"/>
            </w:pPr>
            <w:r>
              <w:t>高炉开工率</w:t>
            </w:r>
          </w:p>
        </w:tc>
        <w:tc>
          <w:tcPr>
            <w:tcW w:w="1661" w:type="dxa"/>
            <w:vAlign w:val="center"/>
          </w:tcPr>
          <w:p w14:paraId="29F52143">
            <w:pPr>
              <w:jc w:val="left"/>
            </w:pPr>
            <w:r>
              <w:t>Mysteel</w:t>
            </w:r>
          </w:p>
        </w:tc>
        <w:tc>
          <w:tcPr>
            <w:tcW w:w="1661" w:type="dxa"/>
            <w:vAlign w:val="center"/>
          </w:tcPr>
          <w:p w14:paraId="3BEEF5A2">
            <w:pPr>
              <w:jc w:val="left"/>
            </w:pPr>
            <w:r>
              <w:t>0.03</w:t>
            </w:r>
          </w:p>
        </w:tc>
        <w:tc>
          <w:tcPr>
            <w:tcW w:w="1661" w:type="dxa"/>
            <w:vAlign w:val="center"/>
          </w:tcPr>
          <w:p w14:paraId="7AE669B5">
            <w:pPr>
              <w:jc w:val="left"/>
            </w:pPr>
            <w:r>
              <w:t>工业高频</w:t>
            </w:r>
          </w:p>
        </w:tc>
      </w:tr>
      <w:tr w14:paraId="1C3C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19E2F4C">
            <w:pPr>
              <w:jc w:val="left"/>
            </w:pPr>
          </w:p>
        </w:tc>
        <w:tc>
          <w:tcPr>
            <w:tcW w:w="1661" w:type="dxa"/>
            <w:vAlign w:val="center"/>
          </w:tcPr>
          <w:p w14:paraId="108549C0">
            <w:pPr>
              <w:jc w:val="left"/>
            </w:pPr>
            <w:r>
              <w:t>地铁客流（10 城合计）</w:t>
            </w:r>
          </w:p>
        </w:tc>
        <w:tc>
          <w:tcPr>
            <w:tcW w:w="1661" w:type="dxa"/>
            <w:vAlign w:val="center"/>
          </w:tcPr>
          <w:p w14:paraId="0EA4472A">
            <w:pPr>
              <w:jc w:val="left"/>
            </w:pPr>
            <w:r>
              <w:t>各市交委</w:t>
            </w:r>
          </w:p>
        </w:tc>
        <w:tc>
          <w:tcPr>
            <w:tcW w:w="1661" w:type="dxa"/>
            <w:vAlign w:val="center"/>
          </w:tcPr>
          <w:p w14:paraId="5231F632">
            <w:pPr>
              <w:jc w:val="left"/>
            </w:pPr>
            <w:r>
              <w:t>0.03</w:t>
            </w:r>
          </w:p>
        </w:tc>
        <w:tc>
          <w:tcPr>
            <w:tcW w:w="1661" w:type="dxa"/>
            <w:vAlign w:val="center"/>
          </w:tcPr>
          <w:p w14:paraId="44D44880">
            <w:pPr>
              <w:jc w:val="left"/>
            </w:pPr>
            <w:r>
              <w:t>消费/出行高频代理</w:t>
            </w:r>
          </w:p>
        </w:tc>
      </w:tr>
    </w:tbl>
    <w:p w14:paraId="06CB19B0">
      <w:pPr>
        <w:pStyle w:val="4"/>
      </w:pPr>
      <w:r>
        <w:rPr>
          <w:b/>
        </w:rPr>
        <w:t>合成方法：</w:t>
      </w:r>
    </w:p>
    <w:p w14:paraId="2D3C16C9">
      <w:pPr>
        <w:pStyle w:val="4"/>
        <w:numPr>
          <w:ilvl w:val="0"/>
          <w:numId w:val="12"/>
        </w:numPr>
      </w:pPr>
      <w:r>
        <w:t>每个指标做 5 年滚动 z-score 标准化（消除量纲和波动率差异）</w:t>
      </w:r>
    </w:p>
    <w:p w14:paraId="5EA37872">
      <w:pPr>
        <w:pStyle w:val="4"/>
        <w:numPr>
          <w:ilvl w:val="0"/>
          <w:numId w:val="12"/>
        </w:numPr>
      </w:pPr>
      <w:r>
        <w:t>按上表权重加权求和（权重依据因果重要性：信用脉冲权重最高 0.18+0.12，高频指标次之，就业类滞后指标最低/本版未纳入）</w:t>
      </w:r>
    </w:p>
    <w:p w14:paraId="36C79406">
      <w:pPr>
        <w:pStyle w:val="4"/>
        <w:numPr>
          <w:ilvl w:val="0"/>
          <w:numId w:val="12"/>
        </w:numPr>
      </w:pPr>
      <w:r>
        <w:t>最终输出 CAI 连续分数（单位为标准差 σ）</w:t>
      </w:r>
    </w:p>
    <w:p w14:paraId="42E0C188">
      <w:pPr>
        <w:pStyle w:val="4"/>
      </w:pPr>
      <w:r>
        <w:rPr>
          <w:b/>
        </w:rPr>
        <w:t>特殊处理：</w:t>
      </w:r>
    </w:p>
    <w:p w14:paraId="6933D140">
      <w:pPr>
        <w:pStyle w:val="4"/>
        <w:numPr>
          <w:ilvl w:val="0"/>
          <w:numId w:val="13"/>
        </w:numPr>
      </w:pPr>
      <w:r>
        <w:t>春节扰动：1-2 月工业增加值、社融等采用 1-2 月合并值或春节调整因子</w:t>
      </w:r>
    </w:p>
    <w:p w14:paraId="4E4ED617">
      <w:pPr>
        <w:pStyle w:val="4"/>
        <w:numPr>
          <w:ilvl w:val="0"/>
          <w:numId w:val="13"/>
        </w:numPr>
      </w:pPr>
      <w:r>
        <w:t>数据发布滞后：使用 point-in-time 版本，缺失时用前值填充并标注</w:t>
      </w:r>
    </w:p>
    <w:p w14:paraId="74EDCC77">
      <w:pPr>
        <w:pStyle w:val="4"/>
        <w:numPr>
          <w:ilvl w:val="0"/>
          <w:numId w:val="13"/>
        </w:numPr>
      </w:pPr>
      <w:r>
        <w:t>M2 已被社融替代，不再纳入 CAI</w:t>
      </w:r>
    </w:p>
    <w:p w14:paraId="7EEC8C87">
      <w:pPr>
        <w:pBdr>
          <w:bottom w:val="single" w:color="auto" w:sz="8" w:space="0"/>
        </w:pBdr>
      </w:pPr>
    </w:p>
    <w:p w14:paraId="69CD7E87">
      <w:pPr>
        <w:pStyle w:val="9"/>
      </w:pPr>
      <w:r>
        <w:t>1.3 中国版 FCI 构建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0C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953A56">
            <w:pPr>
              <w:jc w:val="left"/>
            </w:pPr>
            <w:r>
              <w:t>#</w:t>
            </w:r>
          </w:p>
        </w:tc>
        <w:tc>
          <w:tcPr>
            <w:tcW w:w="1661" w:type="dxa"/>
            <w:vAlign w:val="center"/>
          </w:tcPr>
          <w:p w14:paraId="632361AA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536BB9C4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13F62041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69375B79">
            <w:pPr>
              <w:jc w:val="left"/>
            </w:pPr>
            <w:r>
              <w:t>含义</w:t>
            </w:r>
          </w:p>
        </w:tc>
      </w:tr>
      <w:tr w14:paraId="5F8E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160D3F7">
            <w:pPr>
              <w:jc w:val="left"/>
            </w:pPr>
            <w:r>
              <w:t>1</w:t>
            </w:r>
          </w:p>
        </w:tc>
        <w:tc>
          <w:tcPr>
            <w:tcW w:w="1661" w:type="dxa"/>
            <w:vAlign w:val="center"/>
          </w:tcPr>
          <w:p w14:paraId="637AA498">
            <w:pPr>
              <w:jc w:val="left"/>
            </w:pPr>
            <w:r>
              <w:t>DR007 / SHIBOR 3M（取低频方向一致者）</w:t>
            </w:r>
          </w:p>
        </w:tc>
        <w:tc>
          <w:tcPr>
            <w:tcW w:w="1661" w:type="dxa"/>
            <w:vAlign w:val="center"/>
          </w:tcPr>
          <w:p w14:paraId="7CA8CECD">
            <w:pPr>
              <w:jc w:val="left"/>
            </w:pPr>
            <w:r>
              <w:t>CFETS / SHIBOR</w:t>
            </w:r>
          </w:p>
        </w:tc>
        <w:tc>
          <w:tcPr>
            <w:tcW w:w="1661" w:type="dxa"/>
            <w:vAlign w:val="center"/>
          </w:tcPr>
          <w:p w14:paraId="697E0B9C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183D24CA">
            <w:pPr>
              <w:jc w:val="left"/>
            </w:pPr>
            <w:r>
              <w:t>银行间流动性松紧</w:t>
            </w:r>
          </w:p>
        </w:tc>
      </w:tr>
      <w:tr w14:paraId="52AE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E9B20D2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2535DDF2">
            <w:pPr>
              <w:jc w:val="left"/>
            </w:pPr>
            <w:r>
              <w:t>1Y-10Y 国债利差</w:t>
            </w:r>
          </w:p>
        </w:tc>
        <w:tc>
          <w:tcPr>
            <w:tcW w:w="1661" w:type="dxa"/>
            <w:vAlign w:val="center"/>
          </w:tcPr>
          <w:p w14:paraId="77DDBFB9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5EB346CB">
            <w:pPr>
              <w:jc w:val="left"/>
            </w:pPr>
            <w:r>
              <w:t>0.15</w:t>
            </w:r>
          </w:p>
        </w:tc>
        <w:tc>
          <w:tcPr>
            <w:tcW w:w="1661" w:type="dxa"/>
            <w:vAlign w:val="center"/>
          </w:tcPr>
          <w:p w14:paraId="57256C5C">
            <w:pPr>
              <w:jc w:val="left"/>
            </w:pPr>
            <w:r>
              <w:t>收益率曲线斜率（正=宽松预期）</w:t>
            </w:r>
          </w:p>
        </w:tc>
      </w:tr>
      <w:tr w14:paraId="5434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48C7523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7C1E41A9">
            <w:pPr>
              <w:jc w:val="left"/>
            </w:pPr>
            <w:r>
              <w:t>AA 信用利差（3Y AA 中票 − 3Y 国债）</w:t>
            </w:r>
          </w:p>
        </w:tc>
        <w:tc>
          <w:tcPr>
            <w:tcW w:w="1661" w:type="dxa"/>
            <w:vAlign w:val="center"/>
          </w:tcPr>
          <w:p w14:paraId="6D0DA37A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1841A9B9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40D79623">
            <w:pPr>
              <w:jc w:val="left"/>
            </w:pPr>
            <w:r>
              <w:t>风险溢价（宽=紧）</w:t>
            </w:r>
          </w:p>
        </w:tc>
      </w:tr>
      <w:tr w14:paraId="7FF1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41CE09E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464E3E16">
            <w:pPr>
              <w:jc w:val="left"/>
            </w:pPr>
            <w:r>
              <w:t>人民币 REER</w:t>
            </w:r>
          </w:p>
        </w:tc>
        <w:tc>
          <w:tcPr>
            <w:tcW w:w="1661" w:type="dxa"/>
            <w:vAlign w:val="center"/>
          </w:tcPr>
          <w:p w14:paraId="2619A93B">
            <w:pPr>
              <w:jc w:val="left"/>
            </w:pPr>
            <w:r>
              <w:t>BIS</w:t>
            </w:r>
          </w:p>
        </w:tc>
        <w:tc>
          <w:tcPr>
            <w:tcW w:w="1661" w:type="dxa"/>
            <w:vAlign w:val="center"/>
          </w:tcPr>
          <w:p w14:paraId="486BC633">
            <w:pPr>
              <w:jc w:val="left"/>
            </w:pPr>
            <w:r>
              <w:t>0.15</w:t>
            </w:r>
          </w:p>
        </w:tc>
        <w:tc>
          <w:tcPr>
            <w:tcW w:w="1661" w:type="dxa"/>
            <w:vAlign w:val="center"/>
          </w:tcPr>
          <w:p w14:paraId="750A5A30">
            <w:pPr>
              <w:jc w:val="left"/>
            </w:pPr>
            <w:r>
              <w:t>汇率松紧（高=紧）</w:t>
            </w:r>
          </w:p>
        </w:tc>
      </w:tr>
      <w:tr w14:paraId="09B9C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1FAF00F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700022F3">
            <w:pPr>
              <w:jc w:val="left"/>
            </w:pPr>
            <w:r>
              <w:t>A 股 ERP（沪深300 EPS/指数 − 10Y 国债）</w:t>
            </w:r>
          </w:p>
        </w:tc>
        <w:tc>
          <w:tcPr>
            <w:tcW w:w="1661" w:type="dxa"/>
            <w:vAlign w:val="center"/>
          </w:tcPr>
          <w:p w14:paraId="335C5A1E">
            <w:pPr>
              <w:jc w:val="left"/>
            </w:pPr>
            <w:r>
              <w:t>Wind/自算</w:t>
            </w:r>
          </w:p>
        </w:tc>
        <w:tc>
          <w:tcPr>
            <w:tcW w:w="1661" w:type="dxa"/>
            <w:vAlign w:val="center"/>
          </w:tcPr>
          <w:p w14:paraId="7DA10BB8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2EB6F13E">
            <w:pPr>
              <w:jc w:val="left"/>
            </w:pPr>
            <w:r>
              <w:t>股权风险溢价（高=金融条件紧）</w:t>
            </w:r>
          </w:p>
        </w:tc>
      </w:tr>
    </w:tbl>
    <w:p w14:paraId="54F5BCA5">
      <w:pPr>
        <w:pStyle w:val="4"/>
      </w:pPr>
      <w:r>
        <w:rPr>
          <w:b/>
        </w:rPr>
        <w:t>合成方法：</w:t>
      </w:r>
    </w:p>
    <w:p w14:paraId="0FE71B1B">
      <w:pPr>
        <w:pStyle w:val="4"/>
        <w:numPr>
          <w:ilvl w:val="0"/>
          <w:numId w:val="14"/>
        </w:numPr>
      </w:pPr>
      <w:r>
        <w:t>每个指标做 5 年滚动 z-score 标准化</w:t>
      </w:r>
    </w:p>
    <w:p w14:paraId="77894EF5">
      <w:pPr>
        <w:pStyle w:val="4"/>
        <w:numPr>
          <w:ilvl w:val="0"/>
          <w:numId w:val="14"/>
        </w:numPr>
      </w:pPr>
      <w:r>
        <w:t>方向统一化：所有指标统一为"越高越紧"方向（如利差取负值、ERP 取正值）</w:t>
      </w:r>
    </w:p>
    <w:p w14:paraId="333B8B61">
      <w:pPr>
        <w:pStyle w:val="4"/>
        <w:numPr>
          <w:ilvl w:val="0"/>
          <w:numId w:val="14"/>
        </w:numPr>
      </w:pPr>
      <w:r>
        <w:t>按权重加权求和</w:t>
      </w:r>
    </w:p>
    <w:p w14:paraId="5F137D7A">
      <w:pPr>
        <w:pStyle w:val="4"/>
        <w:numPr>
          <w:ilvl w:val="0"/>
          <w:numId w:val="14"/>
        </w:numPr>
      </w:pPr>
      <w:r>
        <w:t>最终输出 FCI 连续分数（单位为 σ，正数=偏紧，负数=偏松）</w:t>
      </w:r>
    </w:p>
    <w:p w14:paraId="6D1A51A6">
      <w:pPr>
        <w:pBdr>
          <w:bottom w:val="single" w:color="auto" w:sz="8" w:space="0"/>
        </w:pBdr>
      </w:pPr>
    </w:p>
    <w:p w14:paraId="6C02478C">
      <w:pPr>
        <w:pStyle w:val="9"/>
      </w:pPr>
      <w:r>
        <w:t>1.4 美国版 CAI/FCI</w:t>
      </w:r>
    </w:p>
    <w:p w14:paraId="1F8D886A">
      <w:pPr>
        <w:pStyle w:val="8"/>
      </w:pPr>
      <w:r>
        <w:t>美国版 CAI 指标构成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06B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AC904B5">
            <w:pPr>
              <w:jc w:val="left"/>
            </w:pPr>
            <w:r>
              <w:t>类别</w:t>
            </w:r>
          </w:p>
        </w:tc>
        <w:tc>
          <w:tcPr>
            <w:tcW w:w="2768" w:type="dxa"/>
            <w:vAlign w:val="center"/>
          </w:tcPr>
          <w:p w14:paraId="18E252B1">
            <w:pPr>
              <w:jc w:val="left"/>
            </w:pPr>
            <w:r>
              <w:t>具体指标</w:t>
            </w:r>
          </w:p>
        </w:tc>
        <w:tc>
          <w:tcPr>
            <w:tcW w:w="2768" w:type="dxa"/>
            <w:vAlign w:val="center"/>
          </w:tcPr>
          <w:p w14:paraId="00FC3B7F">
            <w:pPr>
              <w:jc w:val="left"/>
            </w:pPr>
            <w:r>
              <w:t>数据来源</w:t>
            </w:r>
          </w:p>
        </w:tc>
      </w:tr>
      <w:tr w14:paraId="5E45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B30AEE7">
            <w:pPr>
              <w:jc w:val="left"/>
            </w:pPr>
            <w:r>
              <w:t>实体活动</w:t>
            </w:r>
          </w:p>
        </w:tc>
        <w:tc>
          <w:tcPr>
            <w:tcW w:w="2768" w:type="dxa"/>
            <w:vAlign w:val="center"/>
          </w:tcPr>
          <w:p w14:paraId="22F6ACDC">
            <w:pPr>
              <w:jc w:val="left"/>
            </w:pPr>
            <w:r>
              <w:t>ISM Manufacturing PMI</w:t>
            </w:r>
          </w:p>
        </w:tc>
        <w:tc>
          <w:tcPr>
            <w:tcW w:w="2768" w:type="dxa"/>
            <w:vAlign w:val="center"/>
          </w:tcPr>
          <w:p w14:paraId="2AD6CA1A">
            <w:pPr>
              <w:jc w:val="left"/>
            </w:pPr>
            <w:r>
              <w:t>ISM</w:t>
            </w:r>
          </w:p>
        </w:tc>
      </w:tr>
      <w:tr w14:paraId="2DFC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874F8B1">
            <w:pPr>
              <w:jc w:val="left"/>
            </w:pPr>
          </w:p>
        </w:tc>
        <w:tc>
          <w:tcPr>
            <w:tcW w:w="2768" w:type="dxa"/>
            <w:vAlign w:val="center"/>
          </w:tcPr>
          <w:p w14:paraId="1C62EE53">
            <w:pPr>
              <w:jc w:val="left"/>
            </w:pPr>
            <w:r>
              <w:t>ISM Services PMI</w:t>
            </w:r>
          </w:p>
        </w:tc>
        <w:tc>
          <w:tcPr>
            <w:tcW w:w="2768" w:type="dxa"/>
            <w:vAlign w:val="center"/>
          </w:tcPr>
          <w:p w14:paraId="5D9A9EBD">
            <w:pPr>
              <w:jc w:val="left"/>
            </w:pPr>
            <w:r>
              <w:t>ISM</w:t>
            </w:r>
          </w:p>
        </w:tc>
      </w:tr>
      <w:tr w14:paraId="619D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09CEC26">
            <w:pPr>
              <w:jc w:val="left"/>
            </w:pPr>
          </w:p>
        </w:tc>
        <w:tc>
          <w:tcPr>
            <w:tcW w:w="2768" w:type="dxa"/>
            <w:vAlign w:val="center"/>
          </w:tcPr>
          <w:p w14:paraId="71518C26">
            <w:pPr>
              <w:jc w:val="left"/>
            </w:pPr>
            <w:r>
              <w:t>高技术制造业订单同比</w:t>
            </w:r>
          </w:p>
        </w:tc>
        <w:tc>
          <w:tcPr>
            <w:tcW w:w="2768" w:type="dxa"/>
            <w:vAlign w:val="center"/>
          </w:tcPr>
          <w:p w14:paraId="77F2B1E7">
            <w:pPr>
              <w:jc w:val="left"/>
            </w:pPr>
            <w:r>
              <w:t>Census/ISM</w:t>
            </w:r>
          </w:p>
        </w:tc>
      </w:tr>
      <w:tr w14:paraId="325F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30BB6F6">
            <w:pPr>
              <w:jc w:val="left"/>
            </w:pPr>
          </w:p>
        </w:tc>
        <w:tc>
          <w:tcPr>
            <w:tcW w:w="2768" w:type="dxa"/>
            <w:vAlign w:val="center"/>
          </w:tcPr>
          <w:p w14:paraId="476D577C">
            <w:pPr>
              <w:jc w:val="left"/>
            </w:pPr>
            <w:r>
              <w:t>非农就业（3M 均值）</w:t>
            </w:r>
          </w:p>
        </w:tc>
        <w:tc>
          <w:tcPr>
            <w:tcW w:w="2768" w:type="dxa"/>
            <w:vAlign w:val="center"/>
          </w:tcPr>
          <w:p w14:paraId="07316246">
            <w:pPr>
              <w:jc w:val="left"/>
            </w:pPr>
            <w:r>
              <w:t>BLS</w:t>
            </w:r>
          </w:p>
        </w:tc>
      </w:tr>
      <w:tr w14:paraId="7FFEC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A4C312F">
            <w:pPr>
              <w:jc w:val="left"/>
            </w:pPr>
          </w:p>
        </w:tc>
        <w:tc>
          <w:tcPr>
            <w:tcW w:w="2768" w:type="dxa"/>
            <w:vAlign w:val="center"/>
          </w:tcPr>
          <w:p w14:paraId="1E8515A6">
            <w:pPr>
              <w:jc w:val="left"/>
            </w:pPr>
            <w:r>
              <w:t>工业生产指数同比</w:t>
            </w:r>
          </w:p>
        </w:tc>
        <w:tc>
          <w:tcPr>
            <w:tcW w:w="2768" w:type="dxa"/>
            <w:vAlign w:val="center"/>
          </w:tcPr>
          <w:p w14:paraId="36C0CE96">
            <w:pPr>
              <w:jc w:val="left"/>
            </w:pPr>
            <w:r>
              <w:t>Fed/G.17</w:t>
            </w:r>
          </w:p>
        </w:tc>
      </w:tr>
      <w:tr w14:paraId="6C38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4DD8B57">
            <w:pPr>
              <w:jc w:val="left"/>
            </w:pPr>
            <w:r>
              <w:t>消费</w:t>
            </w:r>
          </w:p>
        </w:tc>
        <w:tc>
          <w:tcPr>
            <w:tcW w:w="2768" w:type="dxa"/>
            <w:vAlign w:val="center"/>
          </w:tcPr>
          <w:p w14:paraId="7DCE4DFE">
            <w:pPr>
              <w:jc w:val="left"/>
            </w:pPr>
            <w:r>
              <w:t>零售销售同比</w:t>
            </w:r>
          </w:p>
        </w:tc>
        <w:tc>
          <w:tcPr>
            <w:tcW w:w="2768" w:type="dxa"/>
            <w:vAlign w:val="center"/>
          </w:tcPr>
          <w:p w14:paraId="60079E6E">
            <w:pPr>
              <w:jc w:val="left"/>
            </w:pPr>
            <w:r>
              <w:t>Census</w:t>
            </w:r>
          </w:p>
        </w:tc>
      </w:tr>
      <w:tr w14:paraId="5561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1415E9D">
            <w:pPr>
              <w:jc w:val="left"/>
            </w:pPr>
          </w:p>
        </w:tc>
        <w:tc>
          <w:tcPr>
            <w:tcW w:w="2768" w:type="dxa"/>
            <w:vAlign w:val="center"/>
          </w:tcPr>
          <w:p w14:paraId="6A0C425B">
            <w:pPr>
              <w:jc w:val="left"/>
            </w:pPr>
            <w:r>
              <w:t>个人消费支出同比</w:t>
            </w:r>
          </w:p>
        </w:tc>
        <w:tc>
          <w:tcPr>
            <w:tcW w:w="2768" w:type="dxa"/>
            <w:vAlign w:val="center"/>
          </w:tcPr>
          <w:p w14:paraId="410E6CB2">
            <w:pPr>
              <w:jc w:val="left"/>
            </w:pPr>
            <w:r>
              <w:t>BEA</w:t>
            </w:r>
          </w:p>
        </w:tc>
      </w:tr>
      <w:tr w14:paraId="448B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8065FF6">
            <w:pPr>
              <w:jc w:val="left"/>
            </w:pPr>
            <w:r>
              <w:t>住房</w:t>
            </w:r>
          </w:p>
        </w:tc>
        <w:tc>
          <w:tcPr>
            <w:tcW w:w="2768" w:type="dxa"/>
            <w:vAlign w:val="center"/>
          </w:tcPr>
          <w:p w14:paraId="4CC5B8DF">
            <w:pPr>
              <w:jc w:val="left"/>
            </w:pPr>
            <w:r>
              <w:t>新屋开工</w:t>
            </w:r>
          </w:p>
        </w:tc>
        <w:tc>
          <w:tcPr>
            <w:tcW w:w="2768" w:type="dxa"/>
            <w:vAlign w:val="center"/>
          </w:tcPr>
          <w:p w14:paraId="3A5D4ED8">
            <w:pPr>
              <w:jc w:val="left"/>
            </w:pPr>
            <w:r>
              <w:t>Census</w:t>
            </w:r>
          </w:p>
        </w:tc>
      </w:tr>
      <w:tr w14:paraId="7E1F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28CED08">
            <w:pPr>
              <w:jc w:val="left"/>
            </w:pPr>
          </w:p>
        </w:tc>
        <w:tc>
          <w:tcPr>
            <w:tcW w:w="2768" w:type="dxa"/>
            <w:vAlign w:val="center"/>
          </w:tcPr>
          <w:p w14:paraId="7AEA138C">
            <w:pPr>
              <w:jc w:val="left"/>
            </w:pPr>
            <w:r>
              <w:t>成屋销售</w:t>
            </w:r>
          </w:p>
        </w:tc>
        <w:tc>
          <w:tcPr>
            <w:tcW w:w="2768" w:type="dxa"/>
            <w:vAlign w:val="center"/>
          </w:tcPr>
          <w:p w14:paraId="69E2031B">
            <w:pPr>
              <w:jc w:val="left"/>
            </w:pPr>
            <w:r>
              <w:t>NAR</w:t>
            </w:r>
          </w:p>
        </w:tc>
      </w:tr>
      <w:tr w14:paraId="100B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5AB60B8">
            <w:pPr>
              <w:jc w:val="left"/>
            </w:pPr>
            <w:r>
              <w:t>就业</w:t>
            </w:r>
          </w:p>
        </w:tc>
        <w:tc>
          <w:tcPr>
            <w:tcW w:w="2768" w:type="dxa"/>
            <w:vAlign w:val="center"/>
          </w:tcPr>
          <w:p w14:paraId="73B309E6">
            <w:pPr>
              <w:jc w:val="left"/>
            </w:pPr>
            <w:r>
              <w:t>初申失业金人数（4W 均值）</w:t>
            </w:r>
          </w:p>
        </w:tc>
        <w:tc>
          <w:tcPr>
            <w:tcW w:w="2768" w:type="dxa"/>
            <w:vAlign w:val="center"/>
          </w:tcPr>
          <w:p w14:paraId="30AD2E30">
            <w:pPr>
              <w:jc w:val="left"/>
            </w:pPr>
            <w:r>
              <w:t>DOL</w:t>
            </w:r>
          </w:p>
        </w:tc>
      </w:tr>
      <w:tr w14:paraId="73A9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14AD4C5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26E6E8C3">
            <w:pPr>
              <w:jc w:val="left"/>
            </w:pPr>
            <w:r>
              <w:t>信贷脉冲</w:t>
            </w:r>
          </w:p>
        </w:tc>
        <w:tc>
          <w:tcPr>
            <w:tcW w:w="2768" w:type="dxa"/>
            <w:vAlign w:val="center"/>
          </w:tcPr>
          <w:p w14:paraId="4BA2CC42">
            <w:pPr>
              <w:jc w:val="left"/>
            </w:pPr>
            <w:r>
              <w:t>BIS</w:t>
            </w:r>
          </w:p>
        </w:tc>
      </w:tr>
    </w:tbl>
    <w:p w14:paraId="5B1F2C93">
      <w:pPr>
        <w:pStyle w:val="4"/>
      </w:pPr>
      <w:r>
        <w:t>合成方法与中国版 CAI 一致：5 年滚动 z-score + 因果重要性加权。</w:t>
      </w:r>
    </w:p>
    <w:p w14:paraId="6A5D064B">
      <w:pPr>
        <w:pStyle w:val="8"/>
      </w:pPr>
      <w:r>
        <w:t>美国版 FCI 指标构成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BFF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B6F4B9F">
            <w:pPr>
              <w:jc w:val="left"/>
            </w:pPr>
            <w:r>
              <w:t>#</w:t>
            </w:r>
          </w:p>
        </w:tc>
        <w:tc>
          <w:tcPr>
            <w:tcW w:w="2076" w:type="dxa"/>
            <w:vAlign w:val="center"/>
          </w:tcPr>
          <w:p w14:paraId="40BD45E6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6201D217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7BA0577D">
            <w:pPr>
              <w:jc w:val="left"/>
            </w:pPr>
            <w:r>
              <w:t>权重</w:t>
            </w:r>
          </w:p>
        </w:tc>
      </w:tr>
      <w:tr w14:paraId="6863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6CB22A4">
            <w:pPr>
              <w:jc w:val="left"/>
            </w:pPr>
            <w:r>
              <w:t>1</w:t>
            </w:r>
          </w:p>
        </w:tc>
        <w:tc>
          <w:tcPr>
            <w:tcW w:w="2076" w:type="dxa"/>
            <w:vAlign w:val="center"/>
          </w:tcPr>
          <w:p w14:paraId="41DF16B2">
            <w:pPr>
              <w:jc w:val="left"/>
            </w:pPr>
            <w:r>
              <w:t>SOFR / EFFR</w:t>
            </w:r>
          </w:p>
        </w:tc>
        <w:tc>
          <w:tcPr>
            <w:tcW w:w="2076" w:type="dxa"/>
            <w:vAlign w:val="center"/>
          </w:tcPr>
          <w:p w14:paraId="1517B8D6">
            <w:pPr>
              <w:jc w:val="left"/>
            </w:pPr>
            <w:r>
              <w:t>NY Fed</w:t>
            </w:r>
          </w:p>
        </w:tc>
        <w:tc>
          <w:tcPr>
            <w:tcW w:w="2076" w:type="dxa"/>
            <w:vAlign w:val="center"/>
          </w:tcPr>
          <w:p w14:paraId="479F6A78">
            <w:pPr>
              <w:jc w:val="left"/>
            </w:pPr>
            <w:r>
              <w:t>0.15</w:t>
            </w:r>
          </w:p>
        </w:tc>
      </w:tr>
      <w:tr w14:paraId="4D1E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9941DB2">
            <w:pPr>
              <w:jc w:val="left"/>
            </w:pPr>
            <w:r>
              <w:t>2</w:t>
            </w:r>
          </w:p>
        </w:tc>
        <w:tc>
          <w:tcPr>
            <w:tcW w:w="2076" w:type="dxa"/>
            <w:vAlign w:val="center"/>
          </w:tcPr>
          <w:p w14:paraId="1973A56E">
            <w:pPr>
              <w:jc w:val="left"/>
            </w:pPr>
            <w:r>
              <w:t>2Y-10Y UST 利差</w:t>
            </w:r>
          </w:p>
        </w:tc>
        <w:tc>
          <w:tcPr>
            <w:tcW w:w="2076" w:type="dxa"/>
            <w:vAlign w:val="center"/>
          </w:tcPr>
          <w:p w14:paraId="45410129">
            <w:pPr>
              <w:jc w:val="left"/>
            </w:pPr>
            <w:r>
              <w:t>Bloomberg</w:t>
            </w:r>
          </w:p>
        </w:tc>
        <w:tc>
          <w:tcPr>
            <w:tcW w:w="2076" w:type="dxa"/>
            <w:vAlign w:val="center"/>
          </w:tcPr>
          <w:p w14:paraId="7EBE33C5">
            <w:pPr>
              <w:jc w:val="left"/>
            </w:pPr>
            <w:r>
              <w:t>0.15</w:t>
            </w:r>
          </w:p>
        </w:tc>
      </w:tr>
      <w:tr w14:paraId="2DEF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0BBF961">
            <w:pPr>
              <w:jc w:val="left"/>
            </w:pPr>
            <w:r>
              <w:t>3</w:t>
            </w:r>
          </w:p>
        </w:tc>
        <w:tc>
          <w:tcPr>
            <w:tcW w:w="2076" w:type="dxa"/>
            <w:vAlign w:val="center"/>
          </w:tcPr>
          <w:p w14:paraId="11ECBA1B">
            <w:pPr>
              <w:jc w:val="left"/>
            </w:pPr>
            <w:r>
              <w:t>US HY 利差（ICE BofA）</w:t>
            </w:r>
          </w:p>
        </w:tc>
        <w:tc>
          <w:tcPr>
            <w:tcW w:w="2076" w:type="dxa"/>
            <w:vAlign w:val="center"/>
          </w:tcPr>
          <w:p w14:paraId="148F3BF1">
            <w:pPr>
              <w:jc w:val="left"/>
            </w:pPr>
            <w:r>
              <w:t>ICE/Bloomberg</w:t>
            </w:r>
          </w:p>
        </w:tc>
        <w:tc>
          <w:tcPr>
            <w:tcW w:w="2076" w:type="dxa"/>
            <w:vAlign w:val="center"/>
          </w:tcPr>
          <w:p w14:paraId="078344A9">
            <w:pPr>
              <w:jc w:val="left"/>
            </w:pPr>
            <w:r>
              <w:t>0.20</w:t>
            </w:r>
          </w:p>
        </w:tc>
      </w:tr>
      <w:tr w14:paraId="47E8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8FB531">
            <w:pPr>
              <w:jc w:val="left"/>
            </w:pPr>
            <w:r>
              <w:t>4</w:t>
            </w:r>
          </w:p>
        </w:tc>
        <w:tc>
          <w:tcPr>
            <w:tcW w:w="2076" w:type="dxa"/>
            <w:vAlign w:val="center"/>
          </w:tcPr>
          <w:p w14:paraId="793DF4AE">
            <w:pPr>
              <w:jc w:val="left"/>
            </w:pPr>
            <w:r>
              <w:t>DXY（美元指数）</w:t>
            </w:r>
          </w:p>
        </w:tc>
        <w:tc>
          <w:tcPr>
            <w:tcW w:w="2076" w:type="dxa"/>
            <w:vAlign w:val="center"/>
          </w:tcPr>
          <w:p w14:paraId="4B85518E">
            <w:pPr>
              <w:jc w:val="left"/>
            </w:pPr>
            <w:r>
              <w:t>Fed/Bloomberg</w:t>
            </w:r>
          </w:p>
        </w:tc>
        <w:tc>
          <w:tcPr>
            <w:tcW w:w="2076" w:type="dxa"/>
            <w:vAlign w:val="center"/>
          </w:tcPr>
          <w:p w14:paraId="526B899B">
            <w:pPr>
              <w:jc w:val="left"/>
            </w:pPr>
            <w:r>
              <w:t>0.15</w:t>
            </w:r>
          </w:p>
        </w:tc>
      </w:tr>
      <w:tr w14:paraId="5F35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A1CF1DF">
            <w:pPr>
              <w:jc w:val="left"/>
            </w:pPr>
            <w:r>
              <w:t>5</w:t>
            </w:r>
          </w:p>
        </w:tc>
        <w:tc>
          <w:tcPr>
            <w:tcW w:w="2076" w:type="dxa"/>
            <w:vAlign w:val="center"/>
          </w:tcPr>
          <w:p w14:paraId="61263B18">
            <w:pPr>
              <w:jc w:val="left"/>
            </w:pPr>
            <w:r>
              <w:t>S&amp;P 500 ERP</w:t>
            </w:r>
          </w:p>
        </w:tc>
        <w:tc>
          <w:tcPr>
            <w:tcW w:w="2076" w:type="dxa"/>
            <w:vAlign w:val="center"/>
          </w:tcPr>
          <w:p w14:paraId="23B29470">
            <w:pPr>
              <w:jc w:val="left"/>
            </w:pPr>
            <w:r>
              <w:t>Bloomberg/自算</w:t>
            </w:r>
          </w:p>
        </w:tc>
        <w:tc>
          <w:tcPr>
            <w:tcW w:w="2076" w:type="dxa"/>
            <w:vAlign w:val="center"/>
          </w:tcPr>
          <w:p w14:paraId="7CFDFA42">
            <w:pPr>
              <w:jc w:val="left"/>
            </w:pPr>
            <w:r>
              <w:t>0.35</w:t>
            </w:r>
          </w:p>
        </w:tc>
      </w:tr>
    </w:tbl>
    <w:p w14:paraId="41C580CD">
      <w:pPr>
        <w:pStyle w:val="4"/>
      </w:pPr>
      <w:r>
        <w:t>合成方法与中国版 FCI 一致。</w:t>
      </w:r>
    </w:p>
    <w:p w14:paraId="61700FF8">
      <w:pPr>
        <w:pBdr>
          <w:bottom w:val="single" w:color="auto" w:sz="8" w:space="0"/>
        </w:pBdr>
      </w:pPr>
    </w:p>
    <w:p w14:paraId="4EA5AC5D">
      <w:pPr>
        <w:pStyle w:val="9"/>
      </w:pPr>
      <w:r>
        <w:t>1.4a CAI/FCI 权重校准规则</w:t>
      </w:r>
    </w:p>
    <w:p w14:paraId="0E2DFF69">
      <w:pPr>
        <w:pStyle w:val="4"/>
      </w:pPr>
      <w:r>
        <w:t>CAI/FCI 权重基于因果重要性赋权，但需定期校验和校准：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3D4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60A7B45">
            <w:pPr>
              <w:jc w:val="left"/>
            </w:pPr>
            <w:r>
              <w:t>校准项目</w:t>
            </w:r>
          </w:p>
        </w:tc>
        <w:tc>
          <w:tcPr>
            <w:tcW w:w="2768" w:type="dxa"/>
            <w:vAlign w:val="center"/>
          </w:tcPr>
          <w:p w14:paraId="7CC121E6">
            <w:pPr>
              <w:jc w:val="left"/>
            </w:pPr>
            <w:r>
              <w:t>规则</w:t>
            </w:r>
          </w:p>
        </w:tc>
        <w:tc>
          <w:tcPr>
            <w:tcW w:w="2768" w:type="dxa"/>
            <w:vAlign w:val="center"/>
          </w:tcPr>
          <w:p w14:paraId="1E02D534">
            <w:pPr>
              <w:jc w:val="left"/>
            </w:pPr>
            <w:r>
              <w:t>频率</w:t>
            </w:r>
          </w:p>
        </w:tc>
      </w:tr>
      <w:tr w14:paraId="6596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2E053B0">
            <w:pPr>
              <w:jc w:val="left"/>
            </w:pPr>
            <w:r>
              <w:rPr>
                <w:b/>
              </w:rPr>
              <w:t>权重漂移容忍区间</w:t>
            </w:r>
          </w:p>
        </w:tc>
        <w:tc>
          <w:tcPr>
            <w:tcW w:w="2768" w:type="dxa"/>
            <w:vAlign w:val="center"/>
          </w:tcPr>
          <w:p w14:paraId="784728A4">
            <w:pPr>
              <w:jc w:val="left"/>
            </w:pPr>
            <w:r>
              <w:t>单一指标权重变动不超过 ±5 个百分点，超出则触发再校准</w:t>
            </w:r>
          </w:p>
        </w:tc>
        <w:tc>
          <w:tcPr>
            <w:tcW w:w="2768" w:type="dxa"/>
            <w:vAlign w:val="center"/>
          </w:tcPr>
          <w:p w14:paraId="2B1AAD80">
            <w:pPr>
              <w:jc w:val="left"/>
            </w:pPr>
            <w:r>
              <w:t>每季度检查</w:t>
            </w:r>
          </w:p>
        </w:tc>
      </w:tr>
      <w:tr w14:paraId="04AA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EE8FE1F">
            <w:pPr>
              <w:jc w:val="left"/>
            </w:pPr>
            <w:r>
              <w:rPr>
                <w:b/>
              </w:rPr>
              <w:t>滚动回归校准</w:t>
            </w:r>
          </w:p>
        </w:tc>
        <w:tc>
          <w:tcPr>
            <w:tcW w:w="2768" w:type="dxa"/>
            <w:vAlign w:val="center"/>
          </w:tcPr>
          <w:p w14:paraId="63010930">
            <w:pPr>
              <w:jc w:val="left"/>
            </w:pPr>
            <w:r>
              <w:t>以 5 年滚动窗口，对 CAI 各成分做 GDP 同比回归，FCI 各成分做 A 股收益率回归，取标准化系数作为参考权重</w:t>
            </w:r>
          </w:p>
        </w:tc>
        <w:tc>
          <w:tcPr>
            <w:tcW w:w="2768" w:type="dxa"/>
            <w:vAlign w:val="center"/>
          </w:tcPr>
          <w:p w14:paraId="09AF97E9">
            <w:pPr>
              <w:jc w:val="left"/>
            </w:pPr>
            <w:r>
              <w:t>每半年</w:t>
            </w:r>
          </w:p>
        </w:tc>
      </w:tr>
      <w:tr w14:paraId="7A8D3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DCEBB0D">
            <w:pPr>
              <w:jc w:val="left"/>
            </w:pPr>
            <w:r>
              <w:rPr>
                <w:b/>
              </w:rPr>
              <w:t>拐点捕捉率校验</w:t>
            </w:r>
          </w:p>
        </w:tc>
        <w:tc>
          <w:tcPr>
            <w:tcW w:w="2768" w:type="dxa"/>
            <w:vAlign w:val="center"/>
          </w:tcPr>
          <w:p w14:paraId="14A84A88">
            <w:pPr>
              <w:jc w:val="left"/>
            </w:pPr>
            <w:r>
              <w:t>校验当前权重下，CAI/FCI 在过去 10 年各拐点处的领先性（应领先 GDP/市场 ≥ 1 个月），若超过 2 个拐点不满足则调整</w:t>
            </w:r>
          </w:p>
        </w:tc>
        <w:tc>
          <w:tcPr>
            <w:tcW w:w="2768" w:type="dxa"/>
            <w:vAlign w:val="center"/>
          </w:tcPr>
          <w:p w14:paraId="22D5DB16">
            <w:pPr>
              <w:jc w:val="left"/>
            </w:pPr>
            <w:r>
              <w:t>每半年</w:t>
            </w:r>
          </w:p>
        </w:tc>
      </w:tr>
      <w:tr w14:paraId="34C8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8A74A8A">
            <w:pPr>
              <w:jc w:val="left"/>
            </w:pPr>
            <w:r>
              <w:rPr>
                <w:b/>
              </w:rPr>
              <w:t>校准流程</w:t>
            </w:r>
          </w:p>
        </w:tc>
        <w:tc>
          <w:tcPr>
            <w:tcW w:w="2768" w:type="dxa"/>
            <w:vAlign w:val="center"/>
          </w:tcPr>
          <w:p w14:paraId="019B7295">
            <w:pPr>
              <w:jc w:val="left"/>
            </w:pPr>
            <w:r>
              <w:t>滚动回归 → 生成参考权重 → 与当前权重对比 → 漂移超 ±5% 的指标触发讨论 → 全组评审 → 更新权重并记录</w:t>
            </w:r>
          </w:p>
        </w:tc>
        <w:tc>
          <w:tcPr>
            <w:tcW w:w="2768" w:type="dxa"/>
            <w:vAlign w:val="center"/>
          </w:tcPr>
          <w:p w14:paraId="29440B81">
            <w:pPr>
              <w:jc w:val="left"/>
            </w:pPr>
            <w:r>
              <w:t>每半年</w:t>
            </w:r>
          </w:p>
        </w:tc>
      </w:tr>
    </w:tbl>
    <w:p w14:paraId="11DE9EBA">
      <w:pPr>
        <w:pStyle w:val="12"/>
      </w:pPr>
      <w:r>
        <w:rPr>
          <w:b/>
        </w:rPr>
        <w:t>权重稳定性约束：</w:t>
      </w:r>
      <w:r>
        <w:t xml:space="preserve"> 核心高权重指标（CAI 中社融 0.18+0.12、FCI 中 A 股 ERP 0.30 / S&amp;P 500 ERP 0.35）为框架锚点，校准调整幅度不超过 ±3 个百分点，避免核心逻辑漂移。</w:t>
      </w:r>
    </w:p>
    <w:p w14:paraId="247782D2">
      <w:pPr>
        <w:pBdr>
          <w:bottom w:val="single" w:color="auto" w:sz="8" w:space="0"/>
        </w:pBdr>
      </w:pPr>
    </w:p>
    <w:p w14:paraId="1D82F825">
      <w:pPr>
        <w:pStyle w:val="9"/>
      </w:pPr>
      <w:r>
        <w:t>1.5 通胀维度独立处理</w:t>
      </w:r>
    </w:p>
    <w:p w14:paraId="15D7EBC3">
      <w:pPr>
        <w:pStyle w:val="4"/>
      </w:pPr>
      <w:r>
        <w:t>通胀得分采用</w:t>
      </w:r>
      <w:r>
        <w:rPr>
          <w:b/>
        </w:rPr>
        <w:t>水平 + 动量双维度合成</w:t>
      </w:r>
      <w:r>
        <w:t>，不纳入 CAI/FCI。原因：通胀与增长/金融条件并非同向变动（如滞胀环境下增长下行但通胀上行），合并会抵消信号。</w:t>
      </w:r>
    </w:p>
    <w:p w14:paraId="58E0052D">
      <w:pPr>
        <w:pStyle w:val="8"/>
      </w:pPr>
      <w:r>
        <w:t>中国通胀核心指标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4E1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5E3B92B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328707D4">
            <w:pPr>
              <w:jc w:val="left"/>
            </w:pPr>
            <w:r>
              <w:t>指标</w:t>
            </w:r>
          </w:p>
        </w:tc>
        <w:tc>
          <w:tcPr>
            <w:tcW w:w="2768" w:type="dxa"/>
            <w:vAlign w:val="center"/>
          </w:tcPr>
          <w:p w14:paraId="01D90BF8">
            <w:pPr>
              <w:jc w:val="left"/>
            </w:pPr>
            <w:r>
              <w:t>数据来源</w:t>
            </w:r>
          </w:p>
        </w:tc>
      </w:tr>
      <w:tr w14:paraId="5BC0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A548817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1292A701">
            <w:pPr>
              <w:jc w:val="left"/>
            </w:pPr>
            <w:r>
              <w:t>核心 CPI 同比</w:t>
            </w:r>
          </w:p>
        </w:tc>
        <w:tc>
          <w:tcPr>
            <w:tcW w:w="2768" w:type="dxa"/>
            <w:vAlign w:val="center"/>
          </w:tcPr>
          <w:p w14:paraId="5B2229B6">
            <w:pPr>
              <w:jc w:val="left"/>
            </w:pPr>
            <w:r>
              <w:t>NBS</w:t>
            </w:r>
          </w:p>
        </w:tc>
      </w:tr>
      <w:tr w14:paraId="34F7D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B86FF83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66DA4116">
            <w:pPr>
              <w:jc w:val="left"/>
            </w:pPr>
            <w:r>
              <w:t>PPI 同比</w:t>
            </w:r>
          </w:p>
        </w:tc>
        <w:tc>
          <w:tcPr>
            <w:tcW w:w="2768" w:type="dxa"/>
            <w:vAlign w:val="center"/>
          </w:tcPr>
          <w:p w14:paraId="119E17C1">
            <w:pPr>
              <w:jc w:val="left"/>
            </w:pPr>
            <w:r>
              <w:t>NBS</w:t>
            </w:r>
          </w:p>
        </w:tc>
      </w:tr>
      <w:tr w14:paraId="68E4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28AF243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4D831E4F">
            <w:pPr>
              <w:jc w:val="left"/>
            </w:pPr>
            <w:r>
              <w:t>黄金/铜指数同比</w:t>
            </w:r>
          </w:p>
        </w:tc>
        <w:tc>
          <w:tcPr>
            <w:tcW w:w="2768" w:type="dxa"/>
            <w:vAlign w:val="center"/>
          </w:tcPr>
          <w:p w14:paraId="129924B2">
            <w:pPr>
              <w:jc w:val="left"/>
            </w:pPr>
            <w:r>
              <w:t>南华期货</w:t>
            </w:r>
          </w:p>
        </w:tc>
      </w:tr>
      <w:tr w14:paraId="3C0E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8ECF209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3B203ECB">
            <w:pPr>
              <w:jc w:val="left"/>
            </w:pPr>
            <w:r>
              <w:t>核心 CPI 3M 变化</w:t>
            </w:r>
          </w:p>
        </w:tc>
        <w:tc>
          <w:tcPr>
            <w:tcW w:w="2768" w:type="dxa"/>
            <w:vAlign w:val="center"/>
          </w:tcPr>
          <w:p w14:paraId="06B489C0">
            <w:pPr>
              <w:jc w:val="left"/>
            </w:pPr>
            <w:r>
              <w:t>NBS/自算</w:t>
            </w:r>
          </w:p>
        </w:tc>
      </w:tr>
      <w:tr w14:paraId="1304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8A9DBE7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7C8591D1">
            <w:pPr>
              <w:jc w:val="left"/>
            </w:pPr>
            <w:r>
              <w:t>PPI 3M 变化</w:t>
            </w:r>
          </w:p>
        </w:tc>
        <w:tc>
          <w:tcPr>
            <w:tcW w:w="2768" w:type="dxa"/>
            <w:vAlign w:val="center"/>
          </w:tcPr>
          <w:p w14:paraId="4C742BEC">
            <w:pPr>
              <w:jc w:val="left"/>
            </w:pPr>
            <w:r>
              <w:t>NBS/自算</w:t>
            </w:r>
          </w:p>
        </w:tc>
      </w:tr>
      <w:tr w14:paraId="3577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1B3D6C9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2CFE07D7">
            <w:pPr>
              <w:jc w:val="left"/>
            </w:pPr>
            <w:r>
              <w:t>黄金/铜 3M 变化</w:t>
            </w:r>
          </w:p>
        </w:tc>
        <w:tc>
          <w:tcPr>
            <w:tcW w:w="2768" w:type="dxa"/>
            <w:vAlign w:val="center"/>
          </w:tcPr>
          <w:p w14:paraId="3982761D">
            <w:pPr>
              <w:jc w:val="left"/>
            </w:pPr>
            <w:r>
              <w:t>南华期货/自算</w:t>
            </w:r>
          </w:p>
        </w:tc>
      </w:tr>
    </w:tbl>
    <w:p w14:paraId="0E28D7D6">
      <w:pPr>
        <w:pStyle w:val="4"/>
      </w:pPr>
      <w:r>
        <w:t>合成：水平 z-score × 0.5 + 动量 z-score × 0.5</w:t>
      </w:r>
    </w:p>
    <w:p w14:paraId="26E1F034">
      <w:pPr>
        <w:pStyle w:val="8"/>
      </w:pPr>
      <w:r>
        <w:t>美国通胀核心指标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6B5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A7DC88F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71C0CEBB">
            <w:pPr>
              <w:jc w:val="left"/>
            </w:pPr>
            <w:r>
              <w:t>指标</w:t>
            </w:r>
          </w:p>
        </w:tc>
        <w:tc>
          <w:tcPr>
            <w:tcW w:w="2768" w:type="dxa"/>
            <w:vAlign w:val="center"/>
          </w:tcPr>
          <w:p w14:paraId="5CA829EA">
            <w:pPr>
              <w:jc w:val="left"/>
            </w:pPr>
            <w:r>
              <w:t>数据来源</w:t>
            </w:r>
          </w:p>
        </w:tc>
      </w:tr>
      <w:tr w14:paraId="1263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DC0FDAB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0BF09509">
            <w:pPr>
              <w:jc w:val="left"/>
            </w:pPr>
            <w:r>
              <w:t>核心 PCE 同比</w:t>
            </w:r>
          </w:p>
        </w:tc>
        <w:tc>
          <w:tcPr>
            <w:tcW w:w="2768" w:type="dxa"/>
            <w:vAlign w:val="center"/>
          </w:tcPr>
          <w:p w14:paraId="4695CBBC">
            <w:pPr>
              <w:jc w:val="left"/>
            </w:pPr>
            <w:r>
              <w:t>BEA</w:t>
            </w:r>
          </w:p>
        </w:tc>
      </w:tr>
      <w:tr w14:paraId="716A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47DBDCA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63384502">
            <w:pPr>
              <w:jc w:val="left"/>
            </w:pPr>
            <w:r>
              <w:t>ECI 工资增速</w:t>
            </w:r>
          </w:p>
        </w:tc>
        <w:tc>
          <w:tcPr>
            <w:tcW w:w="2768" w:type="dxa"/>
            <w:vAlign w:val="center"/>
          </w:tcPr>
          <w:p w14:paraId="41A162E7">
            <w:pPr>
              <w:jc w:val="left"/>
            </w:pPr>
            <w:r>
              <w:t>BLS</w:t>
            </w:r>
          </w:p>
        </w:tc>
      </w:tr>
      <w:tr w14:paraId="2B36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632D30C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38E2B7A9">
            <w:pPr>
              <w:jc w:val="left"/>
            </w:pPr>
            <w:r>
              <w:t>5Y5Y 通胀互换/Breakeven</w:t>
            </w:r>
          </w:p>
        </w:tc>
        <w:tc>
          <w:tcPr>
            <w:tcW w:w="2768" w:type="dxa"/>
            <w:vAlign w:val="center"/>
          </w:tcPr>
          <w:p w14:paraId="5333A6A4">
            <w:pPr>
              <w:jc w:val="left"/>
            </w:pPr>
            <w:r>
              <w:t>Bloomberg</w:t>
            </w:r>
          </w:p>
        </w:tc>
      </w:tr>
      <w:tr w14:paraId="2B20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9ACC6AC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7525DED6">
            <w:pPr>
              <w:jc w:val="left"/>
            </w:pPr>
            <w:r>
              <w:t>核心 PCE 3M 变化</w:t>
            </w:r>
          </w:p>
        </w:tc>
        <w:tc>
          <w:tcPr>
            <w:tcW w:w="2768" w:type="dxa"/>
            <w:vAlign w:val="center"/>
          </w:tcPr>
          <w:p w14:paraId="3E32D301">
            <w:pPr>
              <w:jc w:val="left"/>
            </w:pPr>
            <w:r>
              <w:t>BEA/自算</w:t>
            </w:r>
          </w:p>
        </w:tc>
      </w:tr>
      <w:tr w14:paraId="10F5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D5AB29F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43D9B715">
            <w:pPr>
              <w:jc w:val="left"/>
            </w:pPr>
            <w:r>
              <w:t>ECI 3M 变化</w:t>
            </w:r>
          </w:p>
        </w:tc>
        <w:tc>
          <w:tcPr>
            <w:tcW w:w="2768" w:type="dxa"/>
            <w:vAlign w:val="center"/>
          </w:tcPr>
          <w:p w14:paraId="225E7783">
            <w:pPr>
              <w:jc w:val="left"/>
            </w:pPr>
            <w:r>
              <w:t>BLS/自算</w:t>
            </w:r>
          </w:p>
        </w:tc>
      </w:tr>
      <w:tr w14:paraId="62AE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3E84D04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0ADC597F">
            <w:pPr>
              <w:jc w:val="left"/>
            </w:pPr>
            <w:r>
              <w:t>5Y5Y Breakeven 3M 变化</w:t>
            </w:r>
          </w:p>
        </w:tc>
        <w:tc>
          <w:tcPr>
            <w:tcW w:w="2768" w:type="dxa"/>
            <w:vAlign w:val="center"/>
          </w:tcPr>
          <w:p w14:paraId="269B6B0C">
            <w:pPr>
              <w:jc w:val="left"/>
            </w:pPr>
            <w:r>
              <w:t>Bloomberg/自算</w:t>
            </w:r>
          </w:p>
        </w:tc>
      </w:tr>
    </w:tbl>
    <w:p w14:paraId="4E0D261A">
      <w:pPr>
        <w:pStyle w:val="4"/>
      </w:pPr>
      <w:r>
        <w:t>合成方式同上。</w:t>
      </w:r>
    </w:p>
    <w:p w14:paraId="70B2E688">
      <w:pPr>
        <w:pBdr>
          <w:bottom w:val="single" w:color="auto" w:sz="8" w:space="0"/>
        </w:pBdr>
      </w:pPr>
    </w:p>
    <w:p w14:paraId="00D7AE6F">
      <w:pPr>
        <w:pStyle w:val="9"/>
      </w:pPr>
      <w:r>
        <w:t>1.6 Layer 1 输出形态</w:t>
      </w:r>
    </w:p>
    <w:p w14:paraId="63588C65">
      <w:pPr>
        <w:pStyle w:val="8"/>
      </w:pPr>
      <w:r>
        <w:t>双输出结构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73F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5DC74BD">
            <w:pPr>
              <w:jc w:val="left"/>
            </w:pPr>
            <w:r>
              <w:t>输出</w:t>
            </w:r>
          </w:p>
        </w:tc>
        <w:tc>
          <w:tcPr>
            <w:tcW w:w="2768" w:type="dxa"/>
            <w:vAlign w:val="center"/>
          </w:tcPr>
          <w:p w14:paraId="5B2F5736">
            <w:pPr>
              <w:jc w:val="left"/>
            </w:pPr>
            <w:r>
              <w:t>形态</w:t>
            </w:r>
          </w:p>
        </w:tc>
        <w:tc>
          <w:tcPr>
            <w:tcW w:w="2768" w:type="dxa"/>
            <w:vAlign w:val="center"/>
          </w:tcPr>
          <w:p w14:paraId="44C2DAED">
            <w:pPr>
              <w:jc w:val="left"/>
            </w:pPr>
            <w:r>
              <w:t>用途</w:t>
            </w:r>
          </w:p>
        </w:tc>
      </w:tr>
      <w:tr w14:paraId="53FA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CE3D587">
            <w:pPr>
              <w:jc w:val="left"/>
            </w:pPr>
            <w:r>
              <w:t>CAI/FCI 连续分数</w:t>
            </w:r>
          </w:p>
        </w:tc>
        <w:tc>
          <w:tcPr>
            <w:tcW w:w="2768" w:type="dxa"/>
            <w:vAlign w:val="center"/>
          </w:tcPr>
          <w:p w14:paraId="4F42B350">
            <w:pPr>
              <w:jc w:val="left"/>
            </w:pPr>
            <w:r>
              <w:t>如 CAI = +0.8σ, FCI = −0.5σ</w:t>
            </w:r>
          </w:p>
        </w:tc>
        <w:tc>
          <w:tcPr>
            <w:tcW w:w="2768" w:type="dxa"/>
            <w:vAlign w:val="center"/>
          </w:tcPr>
          <w:p w14:paraId="11DBE3F4">
            <w:pPr>
              <w:jc w:val="left"/>
            </w:pPr>
            <w:r>
              <w:t>预期差信号计算、极端值判断（|分数| &gt; 1.5σ 为强信号）</w:t>
            </w:r>
          </w:p>
        </w:tc>
      </w:tr>
      <w:tr w14:paraId="3E01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FA39D62">
            <w:pPr>
              <w:jc w:val="left"/>
            </w:pPr>
            <w:r>
              <w:t>离散标签</w:t>
            </w:r>
          </w:p>
        </w:tc>
        <w:tc>
          <w:tcPr>
            <w:tcW w:w="2768" w:type="dxa"/>
            <w:vAlign w:val="center"/>
          </w:tcPr>
          <w:p w14:paraId="0B4D1FC9">
            <w:pPr>
              <w:jc w:val="left"/>
            </w:pPr>
            <w:r>
              <w:t>上行 / 中性 / 下行</w:t>
            </w:r>
          </w:p>
        </w:tc>
        <w:tc>
          <w:tcPr>
            <w:tcW w:w="2768" w:type="dxa"/>
            <w:vAlign w:val="center"/>
          </w:tcPr>
          <w:p w14:paraId="6E54F9B9">
            <w:pPr>
              <w:jc w:val="left"/>
            </w:pPr>
            <w:r>
              <w:t>快速状态画像</w:t>
            </w:r>
          </w:p>
        </w:tc>
      </w:tr>
    </w:tbl>
    <w:p w14:paraId="05B7BD5C">
      <w:pPr>
        <w:pStyle w:val="8"/>
      </w:pPr>
      <w:r>
        <w:t>每周更新——两国状态画像表格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A3B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14357A9">
            <w:pPr>
              <w:jc w:val="left"/>
            </w:pPr>
            <w:r>
              <w:t>维度</w:t>
            </w:r>
          </w:p>
        </w:tc>
        <w:tc>
          <w:tcPr>
            <w:tcW w:w="2076" w:type="dxa"/>
            <w:vAlign w:val="center"/>
          </w:tcPr>
          <w:p w14:paraId="65410155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46D329A3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42E6E016">
            <w:pPr>
              <w:jc w:val="left"/>
            </w:pPr>
            <w:r>
              <w:t>中美差值</w:t>
            </w:r>
          </w:p>
        </w:tc>
      </w:tr>
      <w:tr w14:paraId="20C0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E52AF1D">
            <w:pPr>
              <w:jc w:val="left"/>
            </w:pPr>
            <w:r>
              <w:t>CAI（增长）</w:t>
            </w:r>
          </w:p>
        </w:tc>
        <w:tc>
          <w:tcPr>
            <w:tcW w:w="2076" w:type="dxa"/>
            <w:vAlign w:val="center"/>
          </w:tcPr>
          <w:p w14:paraId="235A4C24">
            <w:pPr>
              <w:jc w:val="left"/>
            </w:pPr>
            <w:r>
              <w:t>+0.3σ / 中性</w:t>
            </w:r>
          </w:p>
        </w:tc>
        <w:tc>
          <w:tcPr>
            <w:tcW w:w="2076" w:type="dxa"/>
            <w:vAlign w:val="center"/>
          </w:tcPr>
          <w:p w14:paraId="35BC50A7">
            <w:pPr>
              <w:jc w:val="left"/>
            </w:pPr>
            <w:r>
              <w:t>+1.1σ / 上行</w:t>
            </w:r>
          </w:p>
        </w:tc>
        <w:tc>
          <w:tcPr>
            <w:tcW w:w="2076" w:type="dxa"/>
            <w:vAlign w:val="center"/>
          </w:tcPr>
          <w:p w14:paraId="620F5C7D">
            <w:pPr>
              <w:jc w:val="left"/>
            </w:pPr>
            <w:r>
              <w:t>−0.8σ</w:t>
            </w:r>
          </w:p>
        </w:tc>
      </w:tr>
      <w:tr w14:paraId="6B79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9763DF1">
            <w:pPr>
              <w:jc w:val="left"/>
            </w:pPr>
            <w:r>
              <w:t>FCI（金融条件）</w:t>
            </w:r>
          </w:p>
        </w:tc>
        <w:tc>
          <w:tcPr>
            <w:tcW w:w="2076" w:type="dxa"/>
            <w:vAlign w:val="center"/>
          </w:tcPr>
          <w:p w14:paraId="634B838C">
            <w:pPr>
              <w:jc w:val="left"/>
            </w:pPr>
            <w:r>
              <w:t>−0.5σ / 偏松</w:t>
            </w:r>
          </w:p>
        </w:tc>
        <w:tc>
          <w:tcPr>
            <w:tcW w:w="2076" w:type="dxa"/>
            <w:vAlign w:val="center"/>
          </w:tcPr>
          <w:p w14:paraId="5D45F411">
            <w:pPr>
              <w:jc w:val="left"/>
            </w:pPr>
            <w:r>
              <w:t>+0.7σ / 偏紧</w:t>
            </w:r>
          </w:p>
        </w:tc>
        <w:tc>
          <w:tcPr>
            <w:tcW w:w="2076" w:type="dxa"/>
            <w:vAlign w:val="center"/>
          </w:tcPr>
          <w:p w14:paraId="08BE554E">
            <w:pPr>
              <w:jc w:val="left"/>
            </w:pPr>
            <w:r>
              <w:t>−1.2σ</w:t>
            </w:r>
          </w:p>
        </w:tc>
      </w:tr>
      <w:tr w14:paraId="02E0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F130DB4">
            <w:pPr>
              <w:jc w:val="left"/>
            </w:pPr>
            <w:r>
              <w:t>通胀（独立）</w:t>
            </w:r>
          </w:p>
        </w:tc>
        <w:tc>
          <w:tcPr>
            <w:tcW w:w="2076" w:type="dxa"/>
            <w:vAlign w:val="center"/>
          </w:tcPr>
          <w:p w14:paraId="72072D3D">
            <w:pPr>
              <w:jc w:val="left"/>
            </w:pPr>
            <w:r>
              <w:t>−0.2σ / 中性</w:t>
            </w:r>
          </w:p>
        </w:tc>
        <w:tc>
          <w:tcPr>
            <w:tcW w:w="2076" w:type="dxa"/>
            <w:vAlign w:val="center"/>
          </w:tcPr>
          <w:p w14:paraId="1B51B41F">
            <w:pPr>
              <w:jc w:val="left"/>
            </w:pPr>
            <w:r>
              <w:t>+0.9σ / 上行</w:t>
            </w:r>
          </w:p>
        </w:tc>
        <w:tc>
          <w:tcPr>
            <w:tcW w:w="2076" w:type="dxa"/>
            <w:vAlign w:val="center"/>
          </w:tcPr>
          <w:p w14:paraId="38A2193D">
            <w:pPr>
              <w:jc w:val="left"/>
            </w:pPr>
            <w:r>
              <w:t>−1.1σ</w:t>
            </w:r>
          </w:p>
        </w:tc>
      </w:tr>
    </w:tbl>
    <w:p w14:paraId="0263CA02">
      <w:pPr>
        <w:pStyle w:val="4"/>
      </w:pPr>
      <w:r>
        <w:t>（上表为示意格式，每周由量化模型组填充实际数值）</w:t>
      </w:r>
    </w:p>
    <w:p w14:paraId="3BDF2405">
      <w:pPr>
        <w:pBdr>
          <w:bottom w:val="single" w:color="auto" w:sz="8" w:space="0"/>
        </w:pBdr>
      </w:pPr>
    </w:p>
    <w:p w14:paraId="09C0120A">
      <w:pPr>
        <w:pStyle w:val="9"/>
      </w:pPr>
      <w:r>
        <w:t>1.7 离散标签兜底与连续分数优先级</w:t>
      </w:r>
    </w:p>
    <w:p w14:paraId="67FB1A76">
      <w:pPr>
        <w:pStyle w:val="4"/>
      </w:pPr>
      <w:r>
        <w:t>连续维度扩展适配规则如下：</w:t>
      </w:r>
    </w:p>
    <w:p w14:paraId="17A89F0C">
      <w:pPr>
        <w:pStyle w:val="4"/>
        <w:numPr>
          <w:ilvl w:val="0"/>
          <w:numId w:val="15"/>
        </w:numPr>
      </w:pPr>
      <w:r>
        <w:rPr>
          <w:b/>
        </w:rPr>
        <w:t>离散标签兜底</w:t>
      </w:r>
      <w:r>
        <w:t>——保留"3 条满足 2 条"离散标签判定规则。当 CAI/FCI 数据缺失（如春节月数据大面积滞后、数据源临时中断）时，回退至离散硬性规则判定状态标签。</w:t>
      </w:r>
    </w:p>
    <w:p w14:paraId="36409BBA">
      <w:pPr>
        <w:pStyle w:val="4"/>
        <w:numPr>
          <w:ilvl w:val="0"/>
          <w:numId w:val="15"/>
        </w:numPr>
      </w:pPr>
      <w:r>
        <w:rPr>
          <w:b/>
        </w:rPr>
        <w:t>连续分数用于预期差与极端值判断</w:t>
      </w:r>
      <w:r>
        <w:t>——</w:t>
      </w:r>
    </w:p>
    <w:p w14:paraId="24C6ACEB">
      <w:pPr>
        <w:pStyle w:val="4"/>
        <w:numPr>
          <w:ilvl w:val="1"/>
          <w:numId w:val="15"/>
        </w:numPr>
      </w:pPr>
      <w:r>
        <w:rPr>
          <w:b/>
        </w:rPr>
        <w:t>预期差信号</w:t>
      </w:r>
      <w:r>
        <w:t>：CAI/FCI 连续分数与市场共识预期之差，作为预期差交易信号（Layer 3 消费）</w:t>
      </w:r>
    </w:p>
    <w:p w14:paraId="5DFA0442">
      <w:pPr>
        <w:pStyle w:val="4"/>
        <w:numPr>
          <w:ilvl w:val="1"/>
          <w:numId w:val="15"/>
        </w:numPr>
      </w:pPr>
      <w:r>
        <w:rPr>
          <w:b/>
        </w:rPr>
        <w:t>极端值判断</w:t>
      </w:r>
      <w:r>
        <w:t>：连续分数绝对值 &gt; 1.5σ 时标记为强信号，升级至 Layer 3 强制评估；&gt; 2.0σ 时触发 Layer 5 风险预警</w:t>
      </w:r>
    </w:p>
    <w:p w14:paraId="4685E64D">
      <w:pPr>
        <w:pStyle w:val="4"/>
        <w:numPr>
          <w:ilvl w:val="0"/>
          <w:numId w:val="15"/>
        </w:numPr>
      </w:pPr>
      <w:r>
        <w:rPr>
          <w:b/>
        </w:rPr>
        <w:t>数据优先级</w:t>
      </w:r>
      <w:r>
        <w:t>——CAI/FCI 连续分数 &gt; 离散标签。两者方向冲突时，以 CAI/FCI 为准，但必须在周报中标注冲突并说明原因。</w:t>
      </w:r>
    </w:p>
    <w:p w14:paraId="1FC0E015">
      <w:pPr>
        <w:pStyle w:val="4"/>
      </w:pPr>
      <w:r>
        <w:rPr>
          <w:b/>
        </w:rPr>
        <w:t>数据流向：</w:t>
      </w:r>
      <w:r>
        <w:t xml:space="preserve"> Layer 0（原始指标）→ Layer 1（CAI/FCI + 通胀得分 + 离散标签）→ Layer 2 → Layer 2.5 → Layer 3 → Layer 4 → </w:t>
      </w:r>
      <w:r>
        <w:rPr>
          <w:b/>
        </w:rPr>
        <w:t>Layer 4.5</w:t>
      </w:r>
      <w:r>
        <w:t xml:space="preserve"> → Layer 5</w:t>
      </w:r>
    </w:p>
    <w:p w14:paraId="7860771B">
      <w:pPr>
        <w:pBdr>
          <w:bottom w:val="single" w:color="auto" w:sz="8" w:space="0"/>
        </w:pBdr>
      </w:pPr>
    </w:p>
    <w:p w14:paraId="217E0204">
      <w:pPr>
        <w:pStyle w:val="7"/>
      </w:pPr>
      <w:r>
        <w:t>Layer 2：周期定位——4 象限 + 政策维度 + 长期债务周期</w:t>
      </w:r>
    </w:p>
    <w:p w14:paraId="5F86EE92">
      <w:pPr>
        <w:pStyle w:val="9"/>
      </w:pPr>
      <w:r>
        <w:t>2.1 中美 4 象限同时定位</w:t>
      </w:r>
    </w:p>
    <w:p w14:paraId="35EB89AD">
      <w:pPr>
        <w:pStyle w:val="4"/>
      </w:pPr>
      <w:r>
        <w:t>基于 Layer 1 的 CAI（增长）和通胀得分，对中美两国同时进行增长×通胀 4 象限定位：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1D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A455A4D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420108FE">
            <w:pPr>
              <w:jc w:val="left"/>
            </w:pPr>
            <w:r>
              <w:t>增长</w:t>
            </w:r>
          </w:p>
        </w:tc>
        <w:tc>
          <w:tcPr>
            <w:tcW w:w="1661" w:type="dxa"/>
            <w:vAlign w:val="center"/>
          </w:tcPr>
          <w:p w14:paraId="2EF5EFC5">
            <w:pPr>
              <w:jc w:val="left"/>
            </w:pPr>
            <w:r>
              <w:t>通胀</w:t>
            </w:r>
          </w:p>
        </w:tc>
        <w:tc>
          <w:tcPr>
            <w:tcW w:w="1661" w:type="dxa"/>
            <w:vAlign w:val="center"/>
          </w:tcPr>
          <w:p w14:paraId="4502D25F">
            <w:pPr>
              <w:jc w:val="left"/>
            </w:pPr>
            <w:r>
              <w:t>受益资产</w:t>
            </w:r>
          </w:p>
        </w:tc>
        <w:tc>
          <w:tcPr>
            <w:tcW w:w="1661" w:type="dxa"/>
            <w:vAlign w:val="center"/>
          </w:tcPr>
          <w:p w14:paraId="6E58B763">
            <w:pPr>
              <w:jc w:val="left"/>
            </w:pPr>
            <w:r>
              <w:t>受损资产</w:t>
            </w:r>
          </w:p>
        </w:tc>
      </w:tr>
      <w:tr w14:paraId="3003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C48B1C9">
            <w:pPr>
              <w:jc w:val="left"/>
            </w:pPr>
            <w:r>
              <w:rPr>
                <w:b/>
              </w:rPr>
              <w:t>象限 I：复苏</w:t>
            </w:r>
          </w:p>
        </w:tc>
        <w:tc>
          <w:tcPr>
            <w:tcW w:w="1661" w:type="dxa"/>
            <w:vAlign w:val="center"/>
          </w:tcPr>
          <w:p w14:paraId="025B54DA">
            <w:pPr>
              <w:jc w:val="left"/>
            </w:pPr>
            <w:r>
              <w:t>上行（CAI &gt; 0）</w:t>
            </w:r>
          </w:p>
        </w:tc>
        <w:tc>
          <w:tcPr>
            <w:tcW w:w="1661" w:type="dxa"/>
            <w:vAlign w:val="center"/>
          </w:tcPr>
          <w:p w14:paraId="24CFF1C4">
            <w:pPr>
              <w:jc w:val="left"/>
            </w:pPr>
            <w:r>
              <w:t>下行/中性</w:t>
            </w:r>
          </w:p>
        </w:tc>
        <w:tc>
          <w:tcPr>
            <w:tcW w:w="1661" w:type="dxa"/>
            <w:vAlign w:val="center"/>
          </w:tcPr>
          <w:p w14:paraId="420A7204">
            <w:pPr>
              <w:jc w:val="left"/>
            </w:pPr>
            <w:r>
              <w:t>权益、信用债、周期股</w:t>
            </w:r>
          </w:p>
        </w:tc>
        <w:tc>
          <w:tcPr>
            <w:tcW w:w="1661" w:type="dxa"/>
            <w:vAlign w:val="center"/>
          </w:tcPr>
          <w:p w14:paraId="508EEA27">
            <w:pPr>
              <w:jc w:val="left"/>
            </w:pPr>
            <w:r>
              <w:t>长久期国债、黄金</w:t>
            </w:r>
          </w:p>
        </w:tc>
      </w:tr>
      <w:tr w14:paraId="2E668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AE823B0">
            <w:pPr>
              <w:jc w:val="left"/>
            </w:pPr>
            <w:r>
              <w:rPr>
                <w:b/>
              </w:rPr>
              <w:t>象限 II：过热</w:t>
            </w:r>
          </w:p>
        </w:tc>
        <w:tc>
          <w:tcPr>
            <w:tcW w:w="1661" w:type="dxa"/>
            <w:vAlign w:val="center"/>
          </w:tcPr>
          <w:p w14:paraId="2C4B6DD0">
            <w:pPr>
              <w:jc w:val="left"/>
            </w:pPr>
            <w:r>
              <w:t>上行（CAI &gt; 0）</w:t>
            </w:r>
          </w:p>
        </w:tc>
        <w:tc>
          <w:tcPr>
            <w:tcW w:w="1661" w:type="dxa"/>
            <w:vAlign w:val="center"/>
          </w:tcPr>
          <w:p w14:paraId="6930CCB3">
            <w:pPr>
              <w:jc w:val="left"/>
            </w:pPr>
            <w:r>
              <w:t>上行</w:t>
            </w:r>
          </w:p>
        </w:tc>
        <w:tc>
          <w:tcPr>
            <w:tcW w:w="1661" w:type="dxa"/>
            <w:vAlign w:val="center"/>
          </w:tcPr>
          <w:p w14:paraId="77C29BE1">
            <w:pPr>
              <w:jc w:val="left"/>
            </w:pPr>
            <w:r>
              <w:t>大宗商品、上游资源、通胀保值债</w:t>
            </w:r>
          </w:p>
        </w:tc>
        <w:tc>
          <w:tcPr>
            <w:tcW w:w="1661" w:type="dxa"/>
            <w:vAlign w:val="center"/>
          </w:tcPr>
          <w:p w14:paraId="75468366">
            <w:pPr>
              <w:jc w:val="left"/>
            </w:pPr>
            <w:r>
              <w:t>长久期国债、成长股</w:t>
            </w:r>
          </w:p>
        </w:tc>
      </w:tr>
      <w:tr w14:paraId="28BC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FCF8BA0">
            <w:pPr>
              <w:jc w:val="left"/>
            </w:pPr>
            <w:r>
              <w:rPr>
                <w:b/>
              </w:rPr>
              <w:t>象限 III：滞胀</w:t>
            </w:r>
          </w:p>
        </w:tc>
        <w:tc>
          <w:tcPr>
            <w:tcW w:w="1661" w:type="dxa"/>
            <w:vAlign w:val="center"/>
          </w:tcPr>
          <w:p w14:paraId="6225B7CD">
            <w:pPr>
              <w:jc w:val="left"/>
            </w:pPr>
            <w:r>
              <w:t>下行（CAI &lt; 0）</w:t>
            </w:r>
          </w:p>
        </w:tc>
        <w:tc>
          <w:tcPr>
            <w:tcW w:w="1661" w:type="dxa"/>
            <w:vAlign w:val="center"/>
          </w:tcPr>
          <w:p w14:paraId="1F32C581">
            <w:pPr>
              <w:jc w:val="left"/>
            </w:pPr>
            <w:r>
              <w:t>上行</w:t>
            </w:r>
          </w:p>
        </w:tc>
        <w:tc>
          <w:tcPr>
            <w:tcW w:w="1661" w:type="dxa"/>
            <w:vAlign w:val="center"/>
          </w:tcPr>
          <w:p w14:paraId="0A395972">
            <w:pPr>
              <w:jc w:val="left"/>
            </w:pPr>
            <w:r>
              <w:t>黄金、短债、必选消费</w:t>
            </w:r>
          </w:p>
        </w:tc>
        <w:tc>
          <w:tcPr>
            <w:tcW w:w="1661" w:type="dxa"/>
            <w:vAlign w:val="center"/>
          </w:tcPr>
          <w:p w14:paraId="22D4A898">
            <w:pPr>
              <w:jc w:val="left"/>
            </w:pPr>
            <w:r>
              <w:t>权益、信用债、长久期国债</w:t>
            </w:r>
          </w:p>
        </w:tc>
      </w:tr>
      <w:tr w14:paraId="4904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4BF11F3">
            <w:pPr>
              <w:jc w:val="left"/>
            </w:pPr>
            <w:r>
              <w:rPr>
                <w:b/>
              </w:rPr>
              <w:t>象限 IV：衰退</w:t>
            </w:r>
          </w:p>
        </w:tc>
        <w:tc>
          <w:tcPr>
            <w:tcW w:w="1661" w:type="dxa"/>
            <w:vAlign w:val="center"/>
          </w:tcPr>
          <w:p w14:paraId="417B5B75">
            <w:pPr>
              <w:jc w:val="left"/>
            </w:pPr>
            <w:r>
              <w:t>下行（CAI &lt; 0）</w:t>
            </w:r>
          </w:p>
        </w:tc>
        <w:tc>
          <w:tcPr>
            <w:tcW w:w="1661" w:type="dxa"/>
            <w:vAlign w:val="center"/>
          </w:tcPr>
          <w:p w14:paraId="442E131C">
            <w:pPr>
              <w:jc w:val="left"/>
            </w:pPr>
            <w:r>
              <w:t>下行/中性</w:t>
            </w:r>
          </w:p>
        </w:tc>
        <w:tc>
          <w:tcPr>
            <w:tcW w:w="1661" w:type="dxa"/>
            <w:vAlign w:val="center"/>
          </w:tcPr>
          <w:p w14:paraId="46E05393">
            <w:pPr>
              <w:jc w:val="left"/>
            </w:pPr>
            <w:r>
              <w:t>长久期国债、利率债、高股息</w:t>
            </w:r>
          </w:p>
        </w:tc>
        <w:tc>
          <w:tcPr>
            <w:tcW w:w="1661" w:type="dxa"/>
            <w:vAlign w:val="center"/>
          </w:tcPr>
          <w:p w14:paraId="52E40B24">
            <w:pPr>
              <w:jc w:val="left"/>
            </w:pPr>
            <w:r>
              <w:t>权益、大宗商品、周期股</w:t>
            </w:r>
          </w:p>
        </w:tc>
      </w:tr>
    </w:tbl>
    <w:p w14:paraId="789961CE">
      <w:pPr>
        <w:pStyle w:val="4"/>
      </w:pPr>
      <w:r>
        <w:rPr>
          <w:b/>
        </w:rPr>
        <w:t>定位方法：</w:t>
      </w:r>
    </w:p>
    <w:p w14:paraId="4C1DFDD1">
      <w:pPr>
        <w:pStyle w:val="4"/>
        <w:numPr>
          <w:ilvl w:val="0"/>
          <w:numId w:val="16"/>
        </w:numPr>
      </w:pPr>
      <w:r>
        <w:t>Layer 1 输出的 CAI 连续分数和通胀得分的符号组合确定象限</w:t>
      </w:r>
    </w:p>
    <w:p w14:paraId="37F1FE10">
      <w:pPr>
        <w:pStyle w:val="4"/>
        <w:numPr>
          <w:ilvl w:val="0"/>
          <w:numId w:val="16"/>
        </w:numPr>
      </w:pPr>
      <w:r>
        <w:t>连续分数绝对值 &gt; 1.0σ 时为强象限信号，0.5-1.0σ 为弱象限信号，&lt; 0.5σ 为象限过渡区</w:t>
      </w:r>
    </w:p>
    <w:p w14:paraId="6D3EBF6A">
      <w:pPr>
        <w:pStyle w:val="4"/>
        <w:numPr>
          <w:ilvl w:val="0"/>
          <w:numId w:val="16"/>
        </w:numPr>
      </w:pPr>
      <w:r>
        <w:t>象限过渡区需结合 4.2 拐点确认标准做最终判定</w:t>
      </w:r>
    </w:p>
    <w:p w14:paraId="59021706">
      <w:pPr>
        <w:pBdr>
          <w:bottom w:val="single" w:color="auto" w:sz="8" w:space="0"/>
        </w:pBdr>
      </w:pPr>
    </w:p>
    <w:p w14:paraId="77D735FF">
      <w:pPr>
        <w:pStyle w:val="9"/>
      </w:pPr>
      <w:r>
        <w:t>2.2 中国版政策维度调节</w:t>
      </w:r>
    </w:p>
    <w:p w14:paraId="3F326AF9">
      <w:pPr>
        <w:pStyle w:val="4"/>
      </w:pPr>
      <w:r>
        <w:t>4 象限定位反映基本面方向，但政策力度影响幅度。政策得分作为 4 象限的幅度调节因子：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FE1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4FF87D7">
            <w:pPr>
              <w:jc w:val="left"/>
            </w:pPr>
            <w:r>
              <w:t>政策维度</w:t>
            </w:r>
          </w:p>
        </w:tc>
        <w:tc>
          <w:tcPr>
            <w:tcW w:w="1661" w:type="dxa"/>
            <w:vAlign w:val="center"/>
          </w:tcPr>
          <w:p w14:paraId="5A508965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1CD59F01">
            <w:pPr>
              <w:jc w:val="left"/>
            </w:pPr>
            <w:r>
              <w:t>核心指标</w:t>
            </w:r>
          </w:p>
        </w:tc>
        <w:tc>
          <w:tcPr>
            <w:tcW w:w="1661" w:type="dxa"/>
            <w:vAlign w:val="center"/>
          </w:tcPr>
          <w:p w14:paraId="2CF79E5C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6849A578">
            <w:pPr>
              <w:jc w:val="left"/>
            </w:pPr>
            <w:r>
              <w:t>评分规则</w:t>
            </w:r>
          </w:p>
        </w:tc>
      </w:tr>
      <w:tr w14:paraId="0367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A8AC34A">
            <w:pPr>
              <w:jc w:val="left"/>
            </w:pPr>
            <w:r>
              <w:rPr>
                <w:b/>
              </w:rPr>
              <w:t>货币政策</w:t>
            </w:r>
          </w:p>
        </w:tc>
        <w:tc>
          <w:tcPr>
            <w:tcW w:w="1661" w:type="dxa"/>
            <w:vAlign w:val="center"/>
          </w:tcPr>
          <w:p w14:paraId="2EC31860">
            <w:pPr>
              <w:jc w:val="left"/>
            </w:pPr>
            <w:r>
              <w:t>0.40</w:t>
            </w:r>
          </w:p>
        </w:tc>
        <w:tc>
          <w:tcPr>
            <w:tcW w:w="1661" w:type="dxa"/>
            <w:vAlign w:val="center"/>
          </w:tcPr>
          <w:p w14:paraId="458B8078">
            <w:pPr>
              <w:jc w:val="left"/>
            </w:pPr>
            <w:r>
              <w:t>DR007 vs 政策利率、MLF/LPR 调整、公开市场净投放</w:t>
            </w:r>
          </w:p>
        </w:tc>
        <w:tc>
          <w:tcPr>
            <w:tcW w:w="1661" w:type="dxa"/>
            <w:vAlign w:val="center"/>
          </w:tcPr>
          <w:p w14:paraId="13438B9B">
            <w:pPr>
              <w:jc w:val="left"/>
            </w:pPr>
            <w:r>
              <w:t>PBOC / CFETS</w:t>
            </w:r>
          </w:p>
        </w:tc>
        <w:tc>
          <w:tcPr>
            <w:tcW w:w="1661" w:type="dxa"/>
            <w:vAlign w:val="center"/>
          </w:tcPr>
          <w:p w14:paraId="4AE1A2C5">
            <w:pPr>
              <w:jc w:val="left"/>
            </w:pPr>
            <w:r>
              <w:t>宽松 +1，中性 0，收紧 -1</w:t>
            </w:r>
          </w:p>
        </w:tc>
      </w:tr>
      <w:tr w14:paraId="04D2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D192EA3">
            <w:pPr>
              <w:jc w:val="left"/>
            </w:pPr>
            <w:r>
              <w:rPr>
                <w:b/>
              </w:rPr>
              <w:t>财政政策</w:t>
            </w:r>
          </w:p>
        </w:tc>
        <w:tc>
          <w:tcPr>
            <w:tcW w:w="1661" w:type="dxa"/>
            <w:vAlign w:val="center"/>
          </w:tcPr>
          <w:p w14:paraId="6DE73351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3C9C0AC5">
            <w:pPr>
              <w:jc w:val="left"/>
            </w:pPr>
            <w:r>
              <w:t>专项债发行进度、财政赤字率、特别国债</w:t>
            </w:r>
          </w:p>
        </w:tc>
        <w:tc>
          <w:tcPr>
            <w:tcW w:w="1661" w:type="dxa"/>
            <w:vAlign w:val="center"/>
          </w:tcPr>
          <w:p w14:paraId="6D9639F5">
            <w:pPr>
              <w:jc w:val="left"/>
            </w:pPr>
            <w:r>
              <w:t>财政部 / Wind</w:t>
            </w:r>
          </w:p>
        </w:tc>
        <w:tc>
          <w:tcPr>
            <w:tcW w:w="1661" w:type="dxa"/>
            <w:vAlign w:val="center"/>
          </w:tcPr>
          <w:p w14:paraId="45064892">
            <w:pPr>
              <w:jc w:val="left"/>
            </w:pPr>
            <w:r>
              <w:t>宽松 +1，中性 0，收紧 -1</w:t>
            </w:r>
          </w:p>
        </w:tc>
      </w:tr>
      <w:tr w14:paraId="09AB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C909D05">
            <w:pPr>
              <w:jc w:val="left"/>
            </w:pPr>
            <w:r>
              <w:rPr>
                <w:b/>
              </w:rPr>
              <w:t>科技/产业政策</w:t>
            </w:r>
          </w:p>
        </w:tc>
        <w:tc>
          <w:tcPr>
            <w:tcW w:w="1661" w:type="dxa"/>
            <w:vAlign w:val="center"/>
          </w:tcPr>
          <w:p w14:paraId="06A74CD0">
            <w:pPr>
              <w:jc w:val="left"/>
            </w:pPr>
            <w:r>
              <w:t>0.25</w:t>
            </w:r>
          </w:p>
        </w:tc>
        <w:tc>
          <w:tcPr>
            <w:tcW w:w="1661" w:type="dxa"/>
            <w:vAlign w:val="center"/>
          </w:tcPr>
          <w:p w14:paraId="6EED0008">
            <w:pPr>
              <w:jc w:val="left"/>
            </w:pPr>
            <w:r>
              <w:t>AI 算力补贴、半导体基金、新能源消纳保障、高技术产业支持</w:t>
            </w:r>
          </w:p>
        </w:tc>
        <w:tc>
          <w:tcPr>
            <w:tcW w:w="1661" w:type="dxa"/>
            <w:vAlign w:val="center"/>
          </w:tcPr>
          <w:p w14:paraId="1AA2A1CE">
            <w:pPr>
              <w:jc w:val="left"/>
            </w:pPr>
            <w:r>
              <w:t>工信部 / 发改委 / Wind</w:t>
            </w:r>
          </w:p>
        </w:tc>
        <w:tc>
          <w:tcPr>
            <w:tcW w:w="1661" w:type="dxa"/>
            <w:vAlign w:val="center"/>
          </w:tcPr>
          <w:p w14:paraId="41154E14">
            <w:pPr>
              <w:jc w:val="left"/>
            </w:pPr>
            <w:r>
              <w:t>宽松 +1，中性 0，收紧 -1</w:t>
            </w:r>
          </w:p>
        </w:tc>
      </w:tr>
      <w:tr w14:paraId="17BA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A5E72D">
            <w:pPr>
              <w:jc w:val="left"/>
            </w:pPr>
            <w:r>
              <w:rPr>
                <w:b/>
              </w:rPr>
              <w:t>监管事件</w:t>
            </w:r>
          </w:p>
        </w:tc>
        <w:tc>
          <w:tcPr>
            <w:tcW w:w="1661" w:type="dxa"/>
            <w:vAlign w:val="center"/>
          </w:tcPr>
          <w:p w14:paraId="2EB1A6C1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3163C9A6">
            <w:pPr>
              <w:jc w:val="left"/>
            </w:pPr>
            <w:r>
              <w:t>资本市场政策、行业监管方向</w:t>
            </w:r>
          </w:p>
        </w:tc>
        <w:tc>
          <w:tcPr>
            <w:tcW w:w="1661" w:type="dxa"/>
            <w:vAlign w:val="center"/>
          </w:tcPr>
          <w:p w14:paraId="0DAB101A">
            <w:pPr>
              <w:jc w:val="left"/>
            </w:pPr>
            <w:r>
              <w:t>证监会 / 各监管部门</w:t>
            </w:r>
          </w:p>
        </w:tc>
        <w:tc>
          <w:tcPr>
            <w:tcW w:w="1661" w:type="dxa"/>
            <w:vAlign w:val="center"/>
          </w:tcPr>
          <w:p w14:paraId="010F59B0">
            <w:pPr>
              <w:jc w:val="left"/>
            </w:pPr>
            <w:r>
              <w:t>宽松 +1，中性 0，收紧 -1</w:t>
            </w:r>
          </w:p>
        </w:tc>
      </w:tr>
    </w:tbl>
    <w:p w14:paraId="431A1EEA">
      <w:pPr>
        <w:pStyle w:val="4"/>
      </w:pPr>
      <w:r>
        <w:rPr>
          <w:b/>
        </w:rPr>
        <w:t>政策综合得分 = Σ（维度评分 × 权重），范围 -1 至 +1</w:t>
      </w:r>
    </w:p>
    <w:p w14:paraId="549D570A">
      <w:pPr>
        <w:pStyle w:val="4"/>
      </w:pPr>
      <w:r>
        <w:rPr>
          <w:b/>
        </w:rPr>
        <w:t>调节规则：</w:t>
      </w:r>
    </w:p>
    <w:p w14:paraId="53F45FA2">
      <w:pPr>
        <w:pStyle w:val="4"/>
        <w:numPr>
          <w:ilvl w:val="0"/>
          <w:numId w:val="17"/>
        </w:numPr>
      </w:pPr>
      <w:r>
        <w:t>政策得分 &gt; +0.5：4 象限受益资产信号强度 +1 档</w:t>
      </w:r>
    </w:p>
    <w:p w14:paraId="65AA0438">
      <w:pPr>
        <w:pStyle w:val="4"/>
        <w:numPr>
          <w:ilvl w:val="0"/>
          <w:numId w:val="17"/>
        </w:numPr>
      </w:pPr>
      <w:r>
        <w:t>政策得分 &lt; -0.5：4 象限受益资产信号强度 -1 档</w:t>
      </w:r>
    </w:p>
    <w:p w14:paraId="1E15F29D">
      <w:pPr>
        <w:pStyle w:val="4"/>
        <w:numPr>
          <w:ilvl w:val="0"/>
          <w:numId w:val="17"/>
        </w:numPr>
      </w:pPr>
      <w:r>
        <w:t>政策得分在 ±0.5 之间：不做幅度调节</w:t>
      </w:r>
    </w:p>
    <w:p w14:paraId="30288386">
      <w:pPr>
        <w:pBdr>
          <w:bottom w:val="single" w:color="auto" w:sz="8" w:space="0"/>
        </w:pBdr>
      </w:pPr>
    </w:p>
    <w:p w14:paraId="49B433AB">
      <w:pPr>
        <w:pStyle w:val="9"/>
      </w:pPr>
      <w:r>
        <w:t>2.3 长期债务周期定位（战略调节器）</w:t>
      </w:r>
    </w:p>
    <w:p w14:paraId="5E6D6F7C">
      <w:pPr>
        <w:pStyle w:val="4"/>
      </w:pPr>
      <w:r>
        <w:t>基于 Ray Dalio 长期债务周期框架，对 4 象限做战略级偏置调整：</w:t>
      </w:r>
    </w:p>
    <w:p w14:paraId="3766FA50">
      <w:pPr>
        <w:pStyle w:val="4"/>
      </w:pPr>
      <w:r>
        <w:rPr>
          <w:b/>
        </w:rPr>
        <w:t>美国长期债务周期定位：</w:t>
      </w:r>
    </w:p>
    <w:p w14:paraId="28D4F782">
      <w:pPr>
        <w:pStyle w:val="4"/>
        <w:numPr>
          <w:ilvl w:val="0"/>
          <w:numId w:val="18"/>
        </w:numPr>
      </w:pPr>
      <w:r>
        <w:t>末端特征：利率接近长期低位、央行资产负债表大幅扩张、贫富分化加剧、民粹主义上升</w:t>
      </w:r>
    </w:p>
    <w:p w14:paraId="0010C959">
      <w:pPr>
        <w:pStyle w:val="4"/>
        <w:numPr>
          <w:ilvl w:val="0"/>
          <w:numId w:val="18"/>
        </w:numPr>
      </w:pPr>
      <w:r>
        <w:rPr>
          <w:b/>
        </w:rPr>
        <w:t>战略偏置：</w:t>
      </w:r>
      <w:r>
        <w:t xml:space="preserve"> 美国长债务周期末端 → 提高黄金/商品权重 +10-20%，降低长期名义债券权重 -10%</w:t>
      </w:r>
    </w:p>
    <w:p w14:paraId="5D39D8C7">
      <w:pPr>
        <w:pStyle w:val="4"/>
      </w:pPr>
      <w:r>
        <w:rPr>
          <w:b/>
        </w:rPr>
        <w:t>中国长期债务周期定位：</w:t>
      </w:r>
    </w:p>
    <w:p w14:paraId="5CD4DF0C">
      <w:pPr>
        <w:pStyle w:val="4"/>
        <w:numPr>
          <w:ilvl w:val="0"/>
          <w:numId w:val="19"/>
        </w:numPr>
      </w:pPr>
      <w:r>
        <w:t>下行特征：传统动能衰减、人口结构拐点、杠杆率高位、信用传导效率下降</w:t>
      </w:r>
    </w:p>
    <w:p w14:paraId="4E5B6968">
      <w:pPr>
        <w:pStyle w:val="4"/>
        <w:numPr>
          <w:ilvl w:val="0"/>
          <w:numId w:val="19"/>
        </w:numPr>
      </w:pPr>
      <w:r>
        <w:rPr>
          <w:b/>
        </w:rPr>
        <w:t>战略偏置：</w:t>
      </w:r>
      <w:r>
        <w:t xml:space="preserve"> 中国长债务周期下行 → 降低长期名义债券权重 -10%，提高高股息/红利资产权重 +5-10%</w:t>
      </w:r>
    </w:p>
    <w:p w14:paraId="1AB0F593">
      <w:pPr>
        <w:pBdr>
          <w:bottom w:val="single" w:color="auto" w:sz="8" w:space="0"/>
        </w:pBdr>
      </w:pPr>
    </w:p>
    <w:p w14:paraId="5CD78BD0">
      <w:pPr>
        <w:pStyle w:val="9"/>
      </w:pPr>
      <w:r>
        <w:t>2.4 周期一致性校验与联动规则</w:t>
      </w:r>
    </w:p>
    <w:p w14:paraId="0A2C634D">
      <w:pPr>
        <w:pStyle w:val="4"/>
      </w:pPr>
      <w:r>
        <w:t>当全球周期与国内周期出现分歧时，严格遵循以下规则，杜绝逻辑矛盾：</w:t>
      </w:r>
    </w:p>
    <w:p w14:paraId="42AFF81C">
      <w:pPr>
        <w:pStyle w:val="4"/>
        <w:numPr>
          <w:ilvl w:val="0"/>
          <w:numId w:val="20"/>
        </w:numPr>
      </w:pPr>
      <w:r>
        <w:rPr>
          <w:b/>
        </w:rPr>
        <w:t>全球长 / 中周期与国内对应周期分歧</w:t>
      </w:r>
      <w:r>
        <w:t>，以全球周期定大方向，国内周期仅调整信号节奏，不改变核心结论；国内强政策对冲场景除外（量化标准见 3.3 第 10 条）；</w:t>
      </w:r>
    </w:p>
    <w:p w14:paraId="4B5F220A">
      <w:pPr>
        <w:pStyle w:val="4"/>
        <w:numPr>
          <w:ilvl w:val="0"/>
          <w:numId w:val="20"/>
        </w:numPr>
      </w:pPr>
      <w:r>
        <w:rPr>
          <w:b/>
        </w:rPr>
        <w:t>全球中周期与国内短周期分歧</w:t>
      </w:r>
      <w:r>
        <w:t>，优先参考全球中周期，国内短周期波动不判定为周期拐点；</w:t>
      </w:r>
    </w:p>
    <w:p w14:paraId="6E0232E4">
      <w:pPr>
        <w:pStyle w:val="4"/>
        <w:numPr>
          <w:ilvl w:val="0"/>
          <w:numId w:val="20"/>
        </w:numPr>
      </w:pPr>
      <w:r>
        <w:rPr>
          <w:b/>
        </w:rPr>
        <w:t>全球风险模块触发恐慌状态</w:t>
      </w:r>
      <w:r>
        <w:t>，无论全球与国内周期如何，直接下调至观望 / 看空信号；</w:t>
      </w:r>
    </w:p>
    <w:p w14:paraId="44C4EDEC">
      <w:pPr>
        <w:pStyle w:val="4"/>
        <w:numPr>
          <w:ilvl w:val="0"/>
          <w:numId w:val="20"/>
        </w:numPr>
      </w:pPr>
      <w:r>
        <w:rPr>
          <w:b/>
        </w:rPr>
        <w:t>中周期必须服从长周期的大方向</w:t>
      </w:r>
      <w:r>
        <w:t>，短周期必须服从中周期的中枢定位，禁止反向判定；</w:t>
      </w:r>
    </w:p>
    <w:p w14:paraId="65FB3C08">
      <w:pPr>
        <w:pStyle w:val="4"/>
        <w:numPr>
          <w:ilvl w:val="0"/>
          <w:numId w:val="20"/>
        </w:numPr>
      </w:pPr>
      <w:r>
        <w:rPr>
          <w:b/>
        </w:rPr>
        <w:t>中美周期严重分化时</w:t>
      </w:r>
      <w:r>
        <w:t>（公理 5 约束），不得输出全面看涨 / 看空信号，仅可输出结构性配置信号；</w:t>
      </w:r>
    </w:p>
    <w:p w14:paraId="4FDBA24C">
      <w:pPr>
        <w:pStyle w:val="4"/>
        <w:numPr>
          <w:ilvl w:val="0"/>
          <w:numId w:val="20"/>
        </w:numPr>
      </w:pPr>
      <w:r>
        <w:rPr>
          <w:b/>
        </w:rPr>
        <w:t>中美周期方向一致时</w:t>
      </w:r>
      <w:r>
        <w:t>（公理 5 约束），可输出两市场共振信号，信号强度 +1 分；</w:t>
      </w:r>
    </w:p>
    <w:p w14:paraId="6CD7694C">
      <w:pPr>
        <w:pStyle w:val="4"/>
        <w:numPr>
          <w:ilvl w:val="0"/>
          <w:numId w:val="20"/>
        </w:numPr>
      </w:pPr>
      <w:r>
        <w:rPr>
          <w:b/>
        </w:rPr>
        <w:t>Sahm Rule 触发时</w:t>
      </w:r>
      <w:r>
        <w:t>，无论美国基本面模块标签如何，强制标注"美国衰退预警"，美股信号下调 1 档。</w:t>
      </w:r>
    </w:p>
    <w:p w14:paraId="6D78BA81">
      <w:pPr>
        <w:pStyle w:val="4"/>
      </w:pPr>
      <w:r>
        <w:rPr>
          <w:b/>
        </w:rPr>
        <w:t>输出结果：</w:t>
      </w:r>
      <w:r>
        <w:t xml:space="preserve"> 全球 + 美国 + 中国全周期定位结论，无逻辑冲突，与 4.2 阶段定性完全一致</w:t>
      </w:r>
      <w:r>
        <w:br w:type="textWrapping"/>
      </w:r>
    </w:p>
    <w:p w14:paraId="62A7C1C0">
      <w:pPr>
        <w:pBdr>
          <w:bottom w:val="single" w:color="auto" w:sz="8" w:space="0"/>
        </w:pBdr>
      </w:pPr>
    </w:p>
    <w:p w14:paraId="7C0C967C">
      <w:pPr>
        <w:pStyle w:val="7"/>
      </w:pPr>
      <w:r>
        <w:t>Layer 2.5：枢纽变量分析层</w:t>
      </w:r>
    </w:p>
    <w:p w14:paraId="6717F553">
      <w:pPr>
        <w:pStyle w:val="9"/>
      </w:pPr>
      <w:r>
        <w:t>2.5.1 设计依据</w:t>
      </w:r>
    </w:p>
    <w:p w14:paraId="679D6AA4">
      <w:pPr>
        <w:pStyle w:val="4"/>
      </w:pPr>
      <w:r>
        <w:t>汇率与大宗商品是连接中美宏观的核心传导枢纽。此前它们零散分布于各层指标中，缺乏独立分析框架，导致两个问题：</w:t>
      </w:r>
    </w:p>
    <w:p w14:paraId="5F0ED213">
      <w:pPr>
        <w:pStyle w:val="4"/>
        <w:numPr>
          <w:ilvl w:val="0"/>
          <w:numId w:val="21"/>
        </w:numPr>
      </w:pPr>
      <w:r>
        <w:rPr>
          <w:b/>
        </w:rPr>
        <w:t>传导链路断裂</w:t>
      </w:r>
      <w:r>
        <w:t>——美元走强→大宗下跌→PPI 下行→周期股承压，这条链路此前需要跨层手动拼接，容易遗漏。</w:t>
      </w:r>
    </w:p>
    <w:p w14:paraId="01365443">
      <w:pPr>
        <w:pStyle w:val="4"/>
        <w:numPr>
          <w:ilvl w:val="0"/>
          <w:numId w:val="21"/>
        </w:numPr>
      </w:pPr>
      <w:r>
        <w:rPr>
          <w:b/>
        </w:rPr>
        <w:t>三角关系缺失</w:t>
      </w:r>
      <w:r>
        <w:t>——商品、汇率、利率三者之间存在稳定的宏观逻辑三角，此前未显式建模。</w:t>
      </w:r>
    </w:p>
    <w:p w14:paraId="4EFFC1D0">
      <w:pPr>
        <w:pStyle w:val="4"/>
      </w:pPr>
      <w:r>
        <w:t>本层将汇率与大宗从零散指标提升为独立分析维度，并显式建模商品-汇率-利率三角关系，作为框架的**"全球宏观背景判断器"**。</w:t>
      </w:r>
    </w:p>
    <w:p w14:paraId="391729C5">
      <w:pPr>
        <w:pBdr>
          <w:bottom w:val="single" w:color="auto" w:sz="8" w:space="0"/>
        </w:pBdr>
      </w:pPr>
    </w:p>
    <w:p w14:paraId="73642A9D">
      <w:pPr>
        <w:pStyle w:val="9"/>
      </w:pPr>
      <w:r>
        <w:t>2.5.2 子模块 A：汇率分析（USD/CNH 为核心）</w:t>
      </w:r>
    </w:p>
    <w:p w14:paraId="2DE6D41E">
      <w:pPr>
        <w:pStyle w:val="8"/>
      </w:pPr>
      <w:r>
        <w:t>4 组驱动力综合判断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4EF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980A12B">
            <w:pPr>
              <w:jc w:val="left"/>
            </w:pPr>
            <w:r>
              <w:t>驱动力</w:t>
            </w:r>
          </w:p>
        </w:tc>
        <w:tc>
          <w:tcPr>
            <w:tcW w:w="1661" w:type="dxa"/>
            <w:vAlign w:val="center"/>
          </w:tcPr>
          <w:p w14:paraId="62698A45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4FCC1557">
            <w:pPr>
              <w:jc w:val="left"/>
            </w:pPr>
            <w:r>
              <w:t>核心指标</w:t>
            </w:r>
          </w:p>
        </w:tc>
        <w:tc>
          <w:tcPr>
            <w:tcW w:w="1661" w:type="dxa"/>
            <w:vAlign w:val="center"/>
          </w:tcPr>
          <w:p w14:paraId="6663E287">
            <w:pPr>
              <w:jc w:val="left"/>
            </w:pPr>
            <w:r>
              <w:t>人民币方向逻辑</w:t>
            </w:r>
          </w:p>
        </w:tc>
        <w:tc>
          <w:tcPr>
            <w:tcW w:w="1661" w:type="dxa"/>
            <w:vAlign w:val="center"/>
          </w:tcPr>
          <w:p w14:paraId="639D22D3">
            <w:pPr>
              <w:jc w:val="left"/>
            </w:pPr>
            <w:r>
              <w:t>数据来源</w:t>
            </w:r>
          </w:p>
        </w:tc>
      </w:tr>
      <w:tr w14:paraId="56D5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80D2EEA">
            <w:pPr>
              <w:jc w:val="left"/>
            </w:pPr>
            <w:r>
              <w:rPr>
                <w:b/>
              </w:rPr>
              <w:t>利差驱动</w:t>
            </w:r>
          </w:p>
        </w:tc>
        <w:tc>
          <w:tcPr>
            <w:tcW w:w="1661" w:type="dxa"/>
            <w:vAlign w:val="center"/>
          </w:tcPr>
          <w:p w14:paraId="6F3DCCD5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36CB89B4">
            <w:pPr>
              <w:jc w:val="left"/>
            </w:pPr>
            <w:r>
              <w:t>中美 10Y 利差</w:t>
            </w:r>
          </w:p>
        </w:tc>
        <w:tc>
          <w:tcPr>
            <w:tcW w:w="1661" w:type="dxa"/>
            <w:vAlign w:val="center"/>
          </w:tcPr>
          <w:p w14:paraId="374F4D4D">
            <w:pPr>
              <w:jc w:val="left"/>
            </w:pPr>
            <w:r>
              <w:t>利差走阔（中&gt;美）→ 人民币升值；利差收窄/倒挂 → 贬值压力</w:t>
            </w:r>
          </w:p>
        </w:tc>
        <w:tc>
          <w:tcPr>
            <w:tcW w:w="1661" w:type="dxa"/>
            <w:vAlign w:val="center"/>
          </w:tcPr>
          <w:p w14:paraId="0BF77E77">
            <w:pPr>
              <w:jc w:val="left"/>
            </w:pPr>
            <w:r>
              <w:t>CFETS / Bloomberg</w:t>
            </w:r>
          </w:p>
        </w:tc>
      </w:tr>
      <w:tr w14:paraId="77BD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AC6B47F">
            <w:pPr>
              <w:jc w:val="left"/>
            </w:pPr>
            <w:r>
              <w:rPr>
                <w:b/>
              </w:rPr>
              <w:t>经常账户</w:t>
            </w:r>
          </w:p>
        </w:tc>
        <w:tc>
          <w:tcPr>
            <w:tcW w:w="1661" w:type="dxa"/>
            <w:vAlign w:val="center"/>
          </w:tcPr>
          <w:p w14:paraId="5D7A499B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62B87F52">
            <w:pPr>
              <w:jc w:val="left"/>
            </w:pPr>
            <w:r>
              <w:t>中国贸易顺差（海关口径）</w:t>
            </w:r>
          </w:p>
        </w:tc>
        <w:tc>
          <w:tcPr>
            <w:tcW w:w="1661" w:type="dxa"/>
            <w:vAlign w:val="center"/>
          </w:tcPr>
          <w:p w14:paraId="5AA45B68">
            <w:pPr>
              <w:jc w:val="left"/>
            </w:pPr>
            <w:r>
              <w:t>顺差扩大 → 升值支撑；顺差收窄 → 贬值压力</w:t>
            </w:r>
          </w:p>
        </w:tc>
        <w:tc>
          <w:tcPr>
            <w:tcW w:w="1661" w:type="dxa"/>
            <w:vAlign w:val="center"/>
          </w:tcPr>
          <w:p w14:paraId="786B884A">
            <w:pPr>
              <w:jc w:val="left"/>
            </w:pPr>
            <w:r>
              <w:t>Customs / SAFE</w:t>
            </w:r>
          </w:p>
        </w:tc>
      </w:tr>
      <w:tr w14:paraId="1902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D11C408">
            <w:pPr>
              <w:jc w:val="left"/>
            </w:pPr>
            <w:r>
              <w:rPr>
                <w:b/>
              </w:rPr>
              <w:t>风险偏好</w:t>
            </w:r>
          </w:p>
        </w:tc>
        <w:tc>
          <w:tcPr>
            <w:tcW w:w="1661" w:type="dxa"/>
            <w:vAlign w:val="center"/>
          </w:tcPr>
          <w:p w14:paraId="038121DB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5398EFB7">
            <w:pPr>
              <w:jc w:val="left"/>
            </w:pPr>
            <w:r>
              <w:t>VIX / 全球避险情绪</w:t>
            </w:r>
          </w:p>
        </w:tc>
        <w:tc>
          <w:tcPr>
            <w:tcW w:w="1661" w:type="dxa"/>
            <w:vAlign w:val="center"/>
          </w:tcPr>
          <w:p w14:paraId="74EF444E">
            <w:pPr>
              <w:jc w:val="left"/>
            </w:pPr>
            <w:r>
              <w:t>全球避险升温 → 美元走强 → CNH 贬值</w:t>
            </w:r>
          </w:p>
        </w:tc>
        <w:tc>
          <w:tcPr>
            <w:tcW w:w="1661" w:type="dxa"/>
            <w:vAlign w:val="center"/>
          </w:tcPr>
          <w:p w14:paraId="75C4355F">
            <w:pPr>
              <w:jc w:val="left"/>
            </w:pPr>
            <w:r>
              <w:t>CBOE / Bloomberg</w:t>
            </w:r>
          </w:p>
        </w:tc>
      </w:tr>
      <w:tr w14:paraId="386C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9C573C3">
            <w:pPr>
              <w:jc w:val="left"/>
            </w:pPr>
            <w:r>
              <w:rPr>
                <w:b/>
              </w:rPr>
              <w:t>政策意图</w:t>
            </w:r>
          </w:p>
        </w:tc>
        <w:tc>
          <w:tcPr>
            <w:tcW w:w="1661" w:type="dxa"/>
            <w:vAlign w:val="center"/>
          </w:tcPr>
          <w:p w14:paraId="435F2436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1810449A">
            <w:pPr>
              <w:jc w:val="left"/>
            </w:pPr>
            <w:r>
              <w:t>央行中间价偏离度（中间价 − 隐含均衡汇率）、外储月度变化</w:t>
            </w:r>
          </w:p>
        </w:tc>
        <w:tc>
          <w:tcPr>
            <w:tcW w:w="1661" w:type="dxa"/>
            <w:vAlign w:val="center"/>
          </w:tcPr>
          <w:p w14:paraId="2E512216">
            <w:pPr>
              <w:jc w:val="left"/>
            </w:pPr>
            <w:r>
              <w:t>中间价强于市场均衡 → 央行维稳意图；外储下降 → 干预消耗</w:t>
            </w:r>
          </w:p>
        </w:tc>
        <w:tc>
          <w:tcPr>
            <w:tcW w:w="1661" w:type="dxa"/>
            <w:vAlign w:val="center"/>
          </w:tcPr>
          <w:p w14:paraId="6185F621">
            <w:pPr>
              <w:jc w:val="left"/>
            </w:pPr>
            <w:r>
              <w:t>PBOC / SAFE</w:t>
            </w:r>
          </w:p>
        </w:tc>
      </w:tr>
    </w:tbl>
    <w:p w14:paraId="0710A50C">
      <w:pPr>
        <w:pStyle w:val="4"/>
      </w:pPr>
      <w:r>
        <w:rPr>
          <w:b/>
        </w:rPr>
        <w:t>合成方法：</w:t>
      </w:r>
    </w:p>
    <w:p w14:paraId="3725FE83">
      <w:pPr>
        <w:pStyle w:val="4"/>
        <w:numPr>
          <w:ilvl w:val="0"/>
          <w:numId w:val="22"/>
        </w:numPr>
      </w:pPr>
      <w:r>
        <w:t>每组驱动力内部指标做 5 年滚动 z-score</w:t>
      </w:r>
    </w:p>
    <w:p w14:paraId="17DD98EB">
      <w:pPr>
        <w:pStyle w:val="4"/>
        <w:numPr>
          <w:ilvl w:val="0"/>
          <w:numId w:val="22"/>
        </w:numPr>
      </w:pPr>
      <w:r>
        <w:t>方向统一化（均转化为"升值压力"方向）</w:t>
      </w:r>
    </w:p>
    <w:p w14:paraId="70212578">
      <w:pPr>
        <w:pStyle w:val="4"/>
        <w:numPr>
          <w:ilvl w:val="0"/>
          <w:numId w:val="22"/>
        </w:numPr>
      </w:pPr>
      <w:r>
        <w:t>按权重加权，得到 USD/CNH 方向得分（正=升值倾向，负=贬值倾向）</w:t>
      </w:r>
    </w:p>
    <w:p w14:paraId="713F6A4F">
      <w:pPr>
        <w:pStyle w:val="4"/>
      </w:pPr>
      <w:r>
        <w:rPr>
          <w:b/>
        </w:rPr>
        <w:t>关键阈值：</w:t>
      </w:r>
    </w:p>
    <w:p w14:paraId="7841E46A">
      <w:pPr>
        <w:pStyle w:val="4"/>
        <w:numPr>
          <w:ilvl w:val="0"/>
          <w:numId w:val="23"/>
        </w:numPr>
      </w:pPr>
      <w:r>
        <w:t>方向得分 &gt; +1.0σ：升值趋势确认</w:t>
      </w:r>
    </w:p>
    <w:p w14:paraId="7E7BE64D">
      <w:pPr>
        <w:pStyle w:val="4"/>
        <w:numPr>
          <w:ilvl w:val="0"/>
          <w:numId w:val="23"/>
        </w:numPr>
      </w:pPr>
      <w:r>
        <w:t>方向得分 &lt; −1.0σ：贬值趋势确认</w:t>
      </w:r>
    </w:p>
    <w:p w14:paraId="7AC41935">
      <w:pPr>
        <w:pStyle w:val="4"/>
        <w:numPr>
          <w:ilvl w:val="0"/>
          <w:numId w:val="23"/>
        </w:numPr>
      </w:pPr>
      <w:r>
        <w:t>方向得分在 ±0.5σ 之间：震荡/无方向</w:t>
      </w:r>
    </w:p>
    <w:p w14:paraId="2CCCFDFC">
      <w:pPr>
        <w:pBdr>
          <w:bottom w:val="single" w:color="auto" w:sz="8" w:space="0"/>
        </w:pBdr>
      </w:pPr>
    </w:p>
    <w:p w14:paraId="5BE6A205">
      <w:pPr>
        <w:pStyle w:val="9"/>
      </w:pPr>
      <w:r>
        <w:t>2.5.3 子模块 B：大宗商品宏观信号</w:t>
      </w:r>
    </w:p>
    <w:p w14:paraId="697FAEA8">
      <w:pPr>
        <w:pStyle w:val="8"/>
      </w:pPr>
      <w:r>
        <w:t>4 个比值信号（剔除/黄金相关）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EF1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7468121">
            <w:pPr>
              <w:jc w:val="left"/>
            </w:pPr>
            <w:r>
              <w:t>#</w:t>
            </w:r>
          </w:p>
        </w:tc>
        <w:tc>
          <w:tcPr>
            <w:tcW w:w="1661" w:type="dxa"/>
            <w:vAlign w:val="center"/>
          </w:tcPr>
          <w:p w14:paraId="31F5481F">
            <w:pPr>
              <w:jc w:val="left"/>
            </w:pPr>
            <w:r>
              <w:t>比值信号</w:t>
            </w:r>
          </w:p>
        </w:tc>
        <w:tc>
          <w:tcPr>
            <w:tcW w:w="1661" w:type="dxa"/>
            <w:vAlign w:val="center"/>
          </w:tcPr>
          <w:p w14:paraId="31FB3A32">
            <w:pPr>
              <w:jc w:val="left"/>
            </w:pPr>
            <w:r>
              <w:t>计算方式</w:t>
            </w:r>
          </w:p>
        </w:tc>
        <w:tc>
          <w:tcPr>
            <w:tcW w:w="1661" w:type="dxa"/>
            <w:vAlign w:val="center"/>
          </w:tcPr>
          <w:p w14:paraId="1991C684">
            <w:pPr>
              <w:jc w:val="left"/>
            </w:pPr>
            <w:r>
              <w:t>宏观含义</w:t>
            </w:r>
          </w:p>
        </w:tc>
        <w:tc>
          <w:tcPr>
            <w:tcW w:w="1661" w:type="dxa"/>
            <w:vAlign w:val="center"/>
          </w:tcPr>
          <w:p w14:paraId="31442F03">
            <w:pPr>
              <w:jc w:val="left"/>
            </w:pPr>
            <w:r>
              <w:t>数据来源</w:t>
            </w:r>
          </w:p>
        </w:tc>
      </w:tr>
      <w:tr w14:paraId="2839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991B0EA">
            <w:pPr>
              <w:jc w:val="left"/>
            </w:pPr>
            <w:r>
              <w:t>1</w:t>
            </w:r>
          </w:p>
        </w:tc>
        <w:tc>
          <w:tcPr>
            <w:tcW w:w="1661" w:type="dxa"/>
            <w:vAlign w:val="center"/>
          </w:tcPr>
          <w:p w14:paraId="1688BD8B">
            <w:pPr>
              <w:jc w:val="left"/>
            </w:pPr>
            <w:r>
              <w:t>铜金比</w:t>
            </w:r>
          </w:p>
        </w:tc>
        <w:tc>
          <w:tcPr>
            <w:tcW w:w="1661" w:type="dxa"/>
            <w:vAlign w:val="center"/>
          </w:tcPr>
          <w:p w14:paraId="496AFA64">
            <w:pPr>
              <w:jc w:val="left"/>
            </w:pPr>
            <w:r>
              <w:t>LME 铜 / 伦敦金</w:t>
            </w:r>
          </w:p>
        </w:tc>
        <w:tc>
          <w:tcPr>
            <w:tcW w:w="1661" w:type="dxa"/>
            <w:vAlign w:val="center"/>
          </w:tcPr>
          <w:p w14:paraId="100ED6BD">
            <w:pPr>
              <w:jc w:val="left"/>
            </w:pPr>
            <w:r>
              <w:t>全球工业需求 vs 避险需求；铜金比上升=全球增长乐观</w:t>
            </w:r>
          </w:p>
        </w:tc>
        <w:tc>
          <w:tcPr>
            <w:tcW w:w="1661" w:type="dxa"/>
            <w:vAlign w:val="center"/>
          </w:tcPr>
          <w:p w14:paraId="16CAFDAE">
            <w:pPr>
              <w:jc w:val="left"/>
            </w:pPr>
            <w:r>
              <w:t>LME / LBMA</w:t>
            </w:r>
          </w:p>
        </w:tc>
      </w:tr>
      <w:tr w14:paraId="072B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F12A7FE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220C0E05">
            <w:pPr>
              <w:jc w:val="left"/>
            </w:pPr>
            <w:r>
              <w:t>铁矿石/铜比</w:t>
            </w:r>
          </w:p>
        </w:tc>
        <w:tc>
          <w:tcPr>
            <w:tcW w:w="1661" w:type="dxa"/>
            <w:vAlign w:val="center"/>
          </w:tcPr>
          <w:p w14:paraId="30F08543">
            <w:pPr>
              <w:jc w:val="left"/>
            </w:pPr>
            <w:r>
              <w:t>DCE 铁矿石 / LME 铜</w:t>
            </w:r>
          </w:p>
        </w:tc>
        <w:tc>
          <w:tcPr>
            <w:tcW w:w="1661" w:type="dxa"/>
            <w:vAlign w:val="center"/>
          </w:tcPr>
          <w:p w14:paraId="4C374367">
            <w:pPr>
              <w:jc w:val="left"/>
            </w:pPr>
            <w:r>
              <w:t>中国需求 vs 全球需求；比值上升=中国投资需求相对更强</w:t>
            </w:r>
          </w:p>
        </w:tc>
        <w:tc>
          <w:tcPr>
            <w:tcW w:w="1661" w:type="dxa"/>
            <w:vAlign w:val="center"/>
          </w:tcPr>
          <w:p w14:paraId="7EB3A44C">
            <w:pPr>
              <w:jc w:val="left"/>
            </w:pPr>
            <w:r>
              <w:t>DCE / LME</w:t>
            </w:r>
          </w:p>
        </w:tc>
      </w:tr>
      <w:tr w14:paraId="1736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31913681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3417E527">
            <w:pPr>
              <w:jc w:val="left"/>
            </w:pPr>
            <w:r>
              <w:t>黄金 vs 实际利率</w:t>
            </w:r>
          </w:p>
        </w:tc>
        <w:tc>
          <w:tcPr>
            <w:tcW w:w="1661" w:type="dxa"/>
            <w:vAlign w:val="center"/>
          </w:tcPr>
          <w:p w14:paraId="307EAA45">
            <w:pPr>
              <w:jc w:val="left"/>
            </w:pPr>
            <w:r>
              <w:t>伦敦金 / 10Y TIPS 收益率（取负）</w:t>
            </w:r>
          </w:p>
        </w:tc>
        <w:tc>
          <w:tcPr>
            <w:tcW w:w="1661" w:type="dxa"/>
            <w:vAlign w:val="center"/>
          </w:tcPr>
          <w:p w14:paraId="5A053BCA">
            <w:pPr>
              <w:jc w:val="left"/>
            </w:pPr>
            <w:r>
              <w:t>实际利率下降→黄金上涨的偏离度；背离=避险/去美元化</w:t>
            </w:r>
          </w:p>
        </w:tc>
        <w:tc>
          <w:tcPr>
            <w:tcW w:w="1661" w:type="dxa"/>
            <w:vAlign w:val="center"/>
          </w:tcPr>
          <w:p w14:paraId="59FC7F80">
            <w:pPr>
              <w:jc w:val="left"/>
            </w:pPr>
            <w:r>
              <w:t>LBMA / Bloomberg</w:t>
            </w:r>
          </w:p>
        </w:tc>
      </w:tr>
      <w:tr w14:paraId="44FE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E762CD2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7C652A63">
            <w:pPr>
              <w:jc w:val="left"/>
            </w:pPr>
            <w:r>
              <w:t>南华 vs 全球 PMI</w:t>
            </w:r>
          </w:p>
        </w:tc>
        <w:tc>
          <w:tcPr>
            <w:tcW w:w="1661" w:type="dxa"/>
            <w:vAlign w:val="center"/>
          </w:tcPr>
          <w:p w14:paraId="67D7224B">
            <w:pPr>
              <w:jc w:val="left"/>
            </w:pPr>
            <w:r>
              <w:t>黄金/铜指数同比 / 全球制造业 PMI</w:t>
            </w:r>
          </w:p>
        </w:tc>
        <w:tc>
          <w:tcPr>
            <w:tcW w:w="1661" w:type="dxa"/>
            <w:vAlign w:val="center"/>
          </w:tcPr>
          <w:p w14:paraId="5C313984">
            <w:pPr>
              <w:jc w:val="left"/>
            </w:pPr>
            <w:r>
              <w:t>中国定价商品 vs 全球周期；背离=中国独立定价逻辑</w:t>
            </w:r>
          </w:p>
        </w:tc>
        <w:tc>
          <w:tcPr>
            <w:tcW w:w="1661" w:type="dxa"/>
            <w:vAlign w:val="center"/>
          </w:tcPr>
          <w:p w14:paraId="61EEF7AD">
            <w:pPr>
              <w:jc w:val="left"/>
            </w:pPr>
            <w:r>
              <w:t>南华期货 / JPM Global</w:t>
            </w:r>
          </w:p>
        </w:tc>
      </w:tr>
    </w:tbl>
    <w:p w14:paraId="2F1DBFB7">
      <w:pPr>
        <w:pStyle w:val="4"/>
      </w:pPr>
      <w:r>
        <w:rPr>
          <w:b/>
        </w:rPr>
        <w:t>信号生成方式：</w:t>
      </w:r>
    </w:p>
    <w:p w14:paraId="0744F5B1">
      <w:pPr>
        <w:pStyle w:val="4"/>
        <w:numPr>
          <w:ilvl w:val="0"/>
          <w:numId w:val="24"/>
        </w:numPr>
      </w:pPr>
      <w:r>
        <w:t>每个比值做 5 年滚动 z-score</w:t>
      </w:r>
    </w:p>
    <w:p w14:paraId="2213D25F">
      <w:pPr>
        <w:pStyle w:val="4"/>
        <w:numPr>
          <w:ilvl w:val="0"/>
          <w:numId w:val="24"/>
        </w:numPr>
      </w:pPr>
      <w:r>
        <w:t>极端值判定：|z-score| &gt; 1.5σ 为强信号，|z-score| &gt; 2.0σ 为极强信号</w:t>
      </w:r>
    </w:p>
    <w:p w14:paraId="21800966">
      <w:pPr>
        <w:pStyle w:val="4"/>
        <w:numPr>
          <w:ilvl w:val="0"/>
          <w:numId w:val="24"/>
        </w:numPr>
      </w:pPr>
      <w:r>
        <w:t>强信号触发时，标记方向和对应宏观含义，进入 Layer 3 评估</w:t>
      </w:r>
    </w:p>
    <w:p w14:paraId="151C5A83">
      <w:pPr>
        <w:pBdr>
          <w:bottom w:val="single" w:color="auto" w:sz="8" w:space="0"/>
        </w:pBdr>
      </w:pPr>
    </w:p>
    <w:p w14:paraId="00AE3A1B">
      <w:pPr>
        <w:pStyle w:val="9"/>
      </w:pPr>
      <w:r>
        <w:t>2.5.4 子模块 C：商品-汇率-利率三角</w:t>
      </w:r>
    </w:p>
    <w:p w14:paraId="59520D46">
      <w:pPr>
        <w:pStyle w:val="4"/>
      </w:pPr>
      <w:r>
        <w:t>将美元指数、黄金/铜价（COMEX 黄金/LME 铜）、美国 10Y 国债收益率三个变量组合，划分 4 种全球宏观环境：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D2D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05EC375">
            <w:pPr>
              <w:jc w:val="left"/>
            </w:pPr>
            <w:r>
              <w:t>宏观环境</w:t>
            </w:r>
          </w:p>
        </w:tc>
        <w:tc>
          <w:tcPr>
            <w:tcW w:w="1384" w:type="dxa"/>
            <w:vAlign w:val="center"/>
          </w:tcPr>
          <w:p w14:paraId="2C221BE1">
            <w:pPr>
              <w:jc w:val="left"/>
            </w:pPr>
            <w:r>
              <w:t>美元</w:t>
            </w:r>
          </w:p>
        </w:tc>
        <w:tc>
          <w:tcPr>
            <w:tcW w:w="1384" w:type="dxa"/>
            <w:vAlign w:val="center"/>
          </w:tcPr>
          <w:p w14:paraId="2CF35351">
            <w:pPr>
              <w:jc w:val="left"/>
            </w:pPr>
            <w:r>
              <w:t>大宗</w:t>
            </w:r>
          </w:p>
        </w:tc>
        <w:tc>
          <w:tcPr>
            <w:tcW w:w="1384" w:type="dxa"/>
            <w:vAlign w:val="center"/>
          </w:tcPr>
          <w:p w14:paraId="3ED201FA">
            <w:pPr>
              <w:jc w:val="left"/>
            </w:pPr>
            <w:r>
              <w:t>美债收益率</w:t>
            </w:r>
          </w:p>
        </w:tc>
        <w:tc>
          <w:tcPr>
            <w:tcW w:w="1384" w:type="dxa"/>
            <w:vAlign w:val="center"/>
          </w:tcPr>
          <w:p w14:paraId="68B3AB4E">
            <w:pPr>
              <w:jc w:val="left"/>
            </w:pPr>
            <w:r>
              <w:t>对中国资产含义</w:t>
            </w:r>
          </w:p>
        </w:tc>
        <w:tc>
          <w:tcPr>
            <w:tcW w:w="1384" w:type="dxa"/>
            <w:vAlign w:val="center"/>
          </w:tcPr>
          <w:p w14:paraId="6CCB826A">
            <w:pPr>
              <w:jc w:val="left"/>
            </w:pPr>
            <w:r>
              <w:t>最优资产</w:t>
            </w:r>
          </w:p>
        </w:tc>
      </w:tr>
      <w:tr w14:paraId="24DF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BA78843">
            <w:pPr>
              <w:jc w:val="left"/>
            </w:pPr>
            <w:r>
              <w:rPr>
                <w:b/>
              </w:rPr>
              <w:t>全球紧缩</w:t>
            </w:r>
          </w:p>
        </w:tc>
        <w:tc>
          <w:tcPr>
            <w:tcW w:w="1384" w:type="dxa"/>
            <w:vAlign w:val="center"/>
          </w:tcPr>
          <w:p w14:paraId="5F095798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18493C1A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28242A17">
            <w:pPr>
              <w:jc w:val="left"/>
            </w:pPr>
            <w:r>
              <w:t>高</w:t>
            </w:r>
          </w:p>
        </w:tc>
        <w:tc>
          <w:tcPr>
            <w:tcW w:w="1384" w:type="dxa"/>
            <w:vAlign w:val="center"/>
          </w:tcPr>
          <w:p w14:paraId="1CAB60AA">
            <w:pPr>
              <w:jc w:val="left"/>
            </w:pPr>
            <w:r>
              <w:t>外资流出、PPI 下行；A 股承压、长债受益</w:t>
            </w:r>
          </w:p>
        </w:tc>
        <w:tc>
          <w:tcPr>
            <w:tcW w:w="1384" w:type="dxa"/>
            <w:vAlign w:val="center"/>
          </w:tcPr>
          <w:p w14:paraId="61A71D5D">
            <w:pPr>
              <w:jc w:val="left"/>
            </w:pPr>
            <w:r>
              <w:t>中债长端、防御股</w:t>
            </w:r>
          </w:p>
        </w:tc>
      </w:tr>
      <w:tr w14:paraId="3EBD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CC365F9">
            <w:pPr>
              <w:jc w:val="left"/>
            </w:pPr>
            <w:r>
              <w:rPr>
                <w:b/>
              </w:rPr>
              <w:t>全球宽松</w:t>
            </w:r>
          </w:p>
        </w:tc>
        <w:tc>
          <w:tcPr>
            <w:tcW w:w="1384" w:type="dxa"/>
            <w:vAlign w:val="center"/>
          </w:tcPr>
          <w:p w14:paraId="02BB6EED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0DADC61D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5BE3CC56">
            <w:pPr>
              <w:jc w:val="left"/>
            </w:pPr>
            <w:r>
              <w:t>低</w:t>
            </w:r>
          </w:p>
        </w:tc>
        <w:tc>
          <w:tcPr>
            <w:tcW w:w="1384" w:type="dxa"/>
            <w:vAlign w:val="center"/>
          </w:tcPr>
          <w:p w14:paraId="1A90116E">
            <w:pPr>
              <w:jc w:val="left"/>
            </w:pPr>
            <w:r>
              <w:t>外资流入、PPI 上行；A 股周期/上游受益</w:t>
            </w:r>
          </w:p>
        </w:tc>
        <w:tc>
          <w:tcPr>
            <w:tcW w:w="1384" w:type="dxa"/>
            <w:vAlign w:val="center"/>
          </w:tcPr>
          <w:p w14:paraId="6962374C">
            <w:pPr>
              <w:jc w:val="left"/>
            </w:pPr>
            <w:r>
              <w:t>周期股、大宗股、港股</w:t>
            </w:r>
          </w:p>
        </w:tc>
      </w:tr>
      <w:tr w14:paraId="69E7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46A917DA">
            <w:pPr>
              <w:jc w:val="left"/>
            </w:pPr>
            <w:r>
              <w:rPr>
                <w:b/>
              </w:rPr>
              <w:t>滞胀型</w:t>
            </w:r>
          </w:p>
        </w:tc>
        <w:tc>
          <w:tcPr>
            <w:tcW w:w="1384" w:type="dxa"/>
            <w:vAlign w:val="center"/>
          </w:tcPr>
          <w:p w14:paraId="3EF6EDB0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2DEA9072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2F8F81EA">
            <w:pPr>
              <w:jc w:val="left"/>
            </w:pPr>
            <w:r>
              <w:t>高</w:t>
            </w:r>
          </w:p>
        </w:tc>
        <w:tc>
          <w:tcPr>
            <w:tcW w:w="1384" w:type="dxa"/>
            <w:vAlign w:val="center"/>
          </w:tcPr>
          <w:p w14:paraId="26E77E9A">
            <w:pPr>
              <w:jc w:val="left"/>
            </w:pPr>
            <w:r>
              <w:t>罕见但极差；黄金最优、长债最差</w:t>
            </w:r>
          </w:p>
        </w:tc>
        <w:tc>
          <w:tcPr>
            <w:tcW w:w="1384" w:type="dxa"/>
            <w:vAlign w:val="center"/>
          </w:tcPr>
          <w:p w14:paraId="48078A97">
            <w:pPr>
              <w:jc w:val="left"/>
            </w:pPr>
            <w:r>
              <w:t>黄金、短债</w:t>
            </w:r>
          </w:p>
        </w:tc>
      </w:tr>
      <w:tr w14:paraId="7F0A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74BB26F">
            <w:pPr>
              <w:jc w:val="left"/>
            </w:pPr>
            <w:r>
              <w:rPr>
                <w:b/>
              </w:rPr>
              <w:t>通缩型</w:t>
            </w:r>
          </w:p>
        </w:tc>
        <w:tc>
          <w:tcPr>
            <w:tcW w:w="1384" w:type="dxa"/>
            <w:vAlign w:val="center"/>
          </w:tcPr>
          <w:p w14:paraId="24108BDF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199C6DA9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35CA1714">
            <w:pPr>
              <w:jc w:val="left"/>
            </w:pPr>
            <w:r>
              <w:t>低</w:t>
            </w:r>
          </w:p>
        </w:tc>
        <w:tc>
          <w:tcPr>
            <w:tcW w:w="1384" w:type="dxa"/>
            <w:vAlign w:val="center"/>
          </w:tcPr>
          <w:p w14:paraId="60216277">
            <w:pPr>
              <w:jc w:val="left"/>
            </w:pPr>
            <w:r>
              <w:t>全球需求弱；长债+利率债最优</w:t>
            </w:r>
          </w:p>
        </w:tc>
        <w:tc>
          <w:tcPr>
            <w:tcW w:w="1384" w:type="dxa"/>
            <w:vAlign w:val="center"/>
          </w:tcPr>
          <w:p w14:paraId="230ABC59">
            <w:pPr>
              <w:jc w:val="left"/>
            </w:pPr>
            <w:r>
              <w:t>利率债、高股息</w:t>
            </w:r>
          </w:p>
        </w:tc>
      </w:tr>
    </w:tbl>
    <w:p w14:paraId="7C14E9BC">
      <w:pPr>
        <w:pStyle w:val="4"/>
      </w:pPr>
      <w:r>
        <w:rPr>
          <w:b/>
        </w:rPr>
        <w:t>定位方法：</w:t>
      </w:r>
    </w:p>
    <w:p w14:paraId="31C43607">
      <w:pPr>
        <w:pStyle w:val="4"/>
        <w:numPr>
          <w:ilvl w:val="0"/>
          <w:numId w:val="25"/>
        </w:numPr>
      </w:pPr>
      <w:r>
        <w:t>三个变量各自做 5 年滚动 z-score</w:t>
      </w:r>
    </w:p>
    <w:p w14:paraId="0E430E6A">
      <w:pPr>
        <w:pStyle w:val="4"/>
        <w:numPr>
          <w:ilvl w:val="0"/>
          <w:numId w:val="25"/>
        </w:numPr>
      </w:pPr>
      <w:r>
        <w:t>根据 z-score 符号组合定位到上述 4 种环境之一</w:t>
      </w:r>
    </w:p>
    <w:p w14:paraId="3C44E670">
      <w:pPr>
        <w:pStyle w:val="4"/>
        <w:numPr>
          <w:ilvl w:val="0"/>
          <w:numId w:val="25"/>
        </w:numPr>
      </w:pPr>
      <w:r>
        <w:t>处于"滞胀型"或"全球紧缩"时，自动触发 Layer 5 风险预警</w:t>
      </w:r>
    </w:p>
    <w:p w14:paraId="3227EDD3">
      <w:pPr>
        <w:pStyle w:val="4"/>
      </w:pPr>
      <w:r>
        <w:rPr>
          <w:b/>
        </w:rPr>
        <w:t>历史典型案例：</w:t>
      </w:r>
    </w:p>
    <w:p w14:paraId="3CCA3144">
      <w:pPr>
        <w:pStyle w:val="4"/>
        <w:numPr>
          <w:ilvl w:val="0"/>
          <w:numId w:val="26"/>
        </w:numPr>
      </w:pPr>
      <w:r>
        <w:t>全球紧缩：2022H2-Q4（美联储激进加息 + 强美元 + 弱大宗）</w:t>
      </w:r>
    </w:p>
    <w:p w14:paraId="71B0C2B8">
      <w:pPr>
        <w:pStyle w:val="4"/>
        <w:numPr>
          <w:ilvl w:val="0"/>
          <w:numId w:val="26"/>
        </w:numPr>
      </w:pPr>
      <w:r>
        <w:t>全球宽松：2020Q2-Q4（全球同步宽松 + 弱美元 + 强大宗）</w:t>
      </w:r>
    </w:p>
    <w:p w14:paraId="423ECA83">
      <w:pPr>
        <w:pStyle w:val="4"/>
        <w:numPr>
          <w:ilvl w:val="0"/>
          <w:numId w:val="26"/>
        </w:numPr>
      </w:pPr>
      <w:r>
        <w:t>滞胀型：1970s（长期未再现，但需持续监测）</w:t>
      </w:r>
    </w:p>
    <w:p w14:paraId="182CFB33">
      <w:pPr>
        <w:pStyle w:val="4"/>
        <w:numPr>
          <w:ilvl w:val="0"/>
          <w:numId w:val="26"/>
        </w:numPr>
      </w:pPr>
      <w:r>
        <w:t>通缩型：2015H1（强美元+弱大宗+低美债，中国通缩压力）</w:t>
      </w:r>
    </w:p>
    <w:p w14:paraId="3B5FF543">
      <w:pPr>
        <w:pBdr>
          <w:bottom w:val="single" w:color="auto" w:sz="8" w:space="0"/>
        </w:pBdr>
      </w:pPr>
    </w:p>
    <w:p w14:paraId="4EDE51F6">
      <w:pPr>
        <w:pStyle w:val="9"/>
      </w:pPr>
      <w:r>
        <w:t>2.5.5 Layer 2.5 输出形态</w:t>
      </w:r>
    </w:p>
    <w:p w14:paraId="55716F64">
      <w:pPr>
        <w:pStyle w:val="4"/>
      </w:pPr>
      <w:r>
        <w:t>每周更新输出表格：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6CD5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CB8D67A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15D4FA42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293C2506">
            <w:pPr>
              <w:jc w:val="left"/>
            </w:pPr>
            <w:r>
              <w:t>频率</w:t>
            </w:r>
          </w:p>
        </w:tc>
      </w:tr>
      <w:tr w14:paraId="0035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3EB531A">
            <w:pPr>
              <w:jc w:val="left"/>
            </w:pPr>
            <w:r>
              <w:t>USD/CNH 方向得分</w:t>
            </w:r>
          </w:p>
        </w:tc>
        <w:tc>
          <w:tcPr>
            <w:tcW w:w="2076" w:type="dxa"/>
            <w:vAlign w:val="center"/>
          </w:tcPr>
          <w:p w14:paraId="314593F7">
            <w:pPr>
              <w:jc w:val="left"/>
            </w:pPr>
            <w:r>
              <w:t>z-score 连续值 + 方向标签</w:t>
            </w:r>
          </w:p>
        </w:tc>
        <w:tc>
          <w:tcPr>
            <w:tcW w:w="2076" w:type="dxa"/>
            <w:vAlign w:val="center"/>
          </w:tcPr>
          <w:p w14:paraId="6BEA1C73">
            <w:pPr>
              <w:jc w:val="left"/>
            </w:pPr>
            <w:r>
              <w:t>周度</w:t>
            </w:r>
          </w:p>
        </w:tc>
      </w:tr>
      <w:tr w14:paraId="2CD2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4C8C96F">
            <w:pPr>
              <w:jc w:val="left"/>
            </w:pPr>
            <w:r>
              <w:t>6 个商品比值信号</w:t>
            </w:r>
          </w:p>
        </w:tc>
        <w:tc>
          <w:tcPr>
            <w:tcW w:w="2076" w:type="dxa"/>
            <w:vAlign w:val="center"/>
          </w:tcPr>
          <w:p w14:paraId="6FA45EB0">
            <w:pPr>
              <w:jc w:val="left"/>
            </w:pPr>
            <w:r>
              <w:t>各比值 z-score + 强信号标记</w:t>
            </w:r>
          </w:p>
        </w:tc>
        <w:tc>
          <w:tcPr>
            <w:tcW w:w="2076" w:type="dxa"/>
            <w:vAlign w:val="center"/>
          </w:tcPr>
          <w:p w14:paraId="1EC28070">
            <w:pPr>
              <w:jc w:val="left"/>
            </w:pPr>
            <w:r>
              <w:t>周度</w:t>
            </w:r>
          </w:p>
        </w:tc>
      </w:tr>
      <w:tr w14:paraId="1485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52ACA8E">
            <w:pPr>
              <w:jc w:val="left"/>
            </w:pPr>
            <w:r>
              <w:t>全球宏观三角定位</w:t>
            </w:r>
          </w:p>
        </w:tc>
        <w:tc>
          <w:tcPr>
            <w:tcW w:w="2076" w:type="dxa"/>
            <w:vAlign w:val="center"/>
          </w:tcPr>
          <w:p w14:paraId="6B2B5B53">
            <w:pPr>
              <w:jc w:val="left"/>
            </w:pPr>
            <w:r>
              <w:t>4 种环境分类 + 各变量 z-score</w:t>
            </w:r>
          </w:p>
        </w:tc>
        <w:tc>
          <w:tcPr>
            <w:tcW w:w="2076" w:type="dxa"/>
            <w:vAlign w:val="center"/>
          </w:tcPr>
          <w:p w14:paraId="417B1065">
            <w:pPr>
              <w:jc w:val="left"/>
            </w:pPr>
            <w:r>
              <w:t>周度</w:t>
            </w:r>
          </w:p>
        </w:tc>
      </w:tr>
      <w:tr w14:paraId="4C4F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3D32A19">
            <w:pPr>
              <w:jc w:val="left"/>
            </w:pPr>
            <w:r>
              <w:t>关键传导通道警报</w:t>
            </w:r>
          </w:p>
        </w:tc>
        <w:tc>
          <w:tcPr>
            <w:tcW w:w="2076" w:type="dxa"/>
            <w:vAlign w:val="center"/>
          </w:tcPr>
          <w:p w14:paraId="46E7423F">
            <w:pPr>
              <w:jc w:val="left"/>
            </w:pPr>
            <w:r>
              <w:t>6 条通道中触发项 + 传导强度</w:t>
            </w:r>
          </w:p>
        </w:tc>
        <w:tc>
          <w:tcPr>
            <w:tcW w:w="2076" w:type="dxa"/>
            <w:vAlign w:val="center"/>
          </w:tcPr>
          <w:p w14:paraId="5F7BA94B">
            <w:pPr>
              <w:jc w:val="left"/>
            </w:pPr>
            <w:r>
              <w:t>周度</w:t>
            </w:r>
          </w:p>
        </w:tc>
      </w:tr>
    </w:tbl>
    <w:p w14:paraId="07DE9C77">
      <w:pPr>
        <w:pStyle w:val="4"/>
      </w:pPr>
      <w:r>
        <w:rPr>
          <w:b/>
        </w:rPr>
        <w:t>警报升级规则：</w:t>
      </w:r>
    </w:p>
    <w:p w14:paraId="75E441F5">
      <w:pPr>
        <w:pStyle w:val="4"/>
        <w:numPr>
          <w:ilvl w:val="0"/>
          <w:numId w:val="27"/>
        </w:numPr>
      </w:pPr>
      <w:r>
        <w:t>三角定位为"滞胀型"：自动升级至 Layer 5 风险预警</w:t>
      </w:r>
    </w:p>
    <w:p w14:paraId="565A9043">
      <w:pPr>
        <w:pStyle w:val="4"/>
        <w:numPr>
          <w:ilvl w:val="0"/>
          <w:numId w:val="27"/>
        </w:numPr>
      </w:pPr>
      <w:r>
        <w:t>商品比值出现 ≥ 2 个极强信号（|z| &gt; 2.0σ）：升级至 Layer 3 强制评估</w:t>
      </w:r>
    </w:p>
    <w:p w14:paraId="701A9FBD">
      <w:pPr>
        <w:pStyle w:val="4"/>
        <w:numPr>
          <w:ilvl w:val="0"/>
          <w:numId w:val="27"/>
        </w:numPr>
      </w:pPr>
      <w:r>
        <w:t>USD/CNH 方向得分 &lt; −1.5σ（强贬值）：触发通道 1/6 警报，同步通知 Layer 1 FCI 校验</w:t>
      </w:r>
    </w:p>
    <w:p w14:paraId="2F1ED094">
      <w:pPr>
        <w:pStyle w:val="4"/>
      </w:pPr>
      <w:r>
        <w:rPr>
          <w:b/>
        </w:rPr>
        <w:t>数据流向：</w:t>
      </w:r>
      <w:r>
        <w:t xml:space="preserve"> Layer 2（行业/结构分析）→ Layer 2.5（全球宏观背景判断）→ Layer 3（信号生成）→ Layer 4 → </w:t>
      </w:r>
      <w:r>
        <w:rPr>
          <w:b/>
        </w:rPr>
        <w:t>Layer 4.5</w:t>
      </w:r>
      <w:r>
        <w:t xml:space="preserve"> → Layer 5</w:t>
      </w:r>
    </w:p>
    <w:p w14:paraId="6E724988">
      <w:pPr>
        <w:pBdr>
          <w:bottom w:val="single" w:color="auto" w:sz="8" w:space="0"/>
        </w:pBdr>
      </w:pPr>
    </w:p>
    <w:p w14:paraId="3A8B9BC8">
      <w:pPr>
        <w:pStyle w:val="7"/>
      </w:pPr>
      <w:r>
        <w:t>Layer 3：市场定价提取</w:t>
      </w:r>
    </w:p>
    <w:p w14:paraId="411B1354">
      <w:pPr>
        <w:pStyle w:val="9"/>
      </w:pPr>
      <w:r>
        <w:t>3.1 设计依据</w:t>
      </w:r>
    </w:p>
    <w:p w14:paraId="5FCA4D19">
      <w:pPr>
        <w:pStyle w:val="4"/>
      </w:pPr>
      <w:r>
        <w:t>这是绝大多数传统宏观框架缺失的层次，也是 Alpha 的核心来源。</w:t>
      </w:r>
    </w:p>
    <w:p w14:paraId="4AB43C48">
      <w:pPr>
        <w:pStyle w:val="4"/>
      </w:pPr>
      <w:r>
        <w:rPr>
          <w:b/>
        </w:rPr>
        <w:t>核心逻辑：</w:t>
      </w:r>
      <w:r>
        <w:t xml:space="preserve"> Alpha 来自"实际状态 vs 市场定价"的差——没有这一层就没有差，没有差就没有 Alpha。传统框架止步于"判断宏观状态"，但市场已经对宏观状态进行了定价。只有同时掌握基本面实际状态和市场已定价状态，才能识别定价偏差、捕捉超额收益。</w:t>
      </w:r>
    </w:p>
    <w:p w14:paraId="1E3A31D7">
      <w:pPr>
        <w:pStyle w:val="4"/>
      </w:pPr>
      <w:r>
        <w:rPr>
          <w:b/>
        </w:rPr>
        <w:t>本层职责：</w:t>
      </w:r>
      <w:r>
        <w:t xml:space="preserve"> 从市场价格反推市场已定价了什么，与 Layer 1 的实际基本面状态形成对照。Layer 1 回答"经济实际上怎样"，Layer 3 回答"市场认为经济怎样"——两者的差就是 Layer 4 预期差信号的输入。</w:t>
      </w:r>
    </w:p>
    <w:p w14:paraId="4002D329">
      <w:pPr>
        <w:pStyle w:val="4"/>
      </w:pPr>
      <w:r>
        <w:t>本层涵盖原市场预期定价扫描功能，并系统性扩展为五类定价指标的完整提取框架——覆盖利率、估值、汇率、商品、信用五个维度，为 Layer 4 的预期差计算提供结构化输入。</w:t>
      </w:r>
    </w:p>
    <w:p w14:paraId="15B9C66E">
      <w:pPr>
        <w:pBdr>
          <w:bottom w:val="single" w:color="auto" w:sz="8" w:space="0"/>
        </w:pBdr>
      </w:pPr>
    </w:p>
    <w:p w14:paraId="409DA2B6">
      <w:pPr>
        <w:pStyle w:val="9"/>
      </w:pPr>
      <w:r>
        <w:t>3.2 五类市场定价指标</w:t>
      </w:r>
    </w:p>
    <w:p w14:paraId="1265E6F6">
      <w:pPr>
        <w:pStyle w:val="8"/>
      </w:pPr>
      <w:r>
        <w:t>A. 利率市场反推增长/通胀/政策预期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582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4FD0301">
            <w:pPr>
              <w:jc w:val="left"/>
            </w:pPr>
            <w:r>
              <w:t>指标</w:t>
            </w:r>
          </w:p>
        </w:tc>
        <w:tc>
          <w:tcPr>
            <w:tcW w:w="1384" w:type="dxa"/>
            <w:vAlign w:val="center"/>
          </w:tcPr>
          <w:p w14:paraId="16F83807">
            <w:pPr>
              <w:jc w:val="left"/>
            </w:pPr>
            <w:r>
              <w:t>中国版本</w:t>
            </w:r>
          </w:p>
        </w:tc>
        <w:tc>
          <w:tcPr>
            <w:tcW w:w="1384" w:type="dxa"/>
            <w:vAlign w:val="center"/>
          </w:tcPr>
          <w:p w14:paraId="7C795ACD">
            <w:pPr>
              <w:jc w:val="left"/>
            </w:pPr>
            <w:r>
              <w:t>数据来源</w:t>
            </w:r>
          </w:p>
        </w:tc>
        <w:tc>
          <w:tcPr>
            <w:tcW w:w="1384" w:type="dxa"/>
            <w:vAlign w:val="center"/>
          </w:tcPr>
          <w:p w14:paraId="3F97B58D">
            <w:pPr>
              <w:jc w:val="left"/>
            </w:pPr>
            <w:r>
              <w:t>美国版本</w:t>
            </w:r>
          </w:p>
        </w:tc>
        <w:tc>
          <w:tcPr>
            <w:tcW w:w="1384" w:type="dxa"/>
            <w:vAlign w:val="center"/>
          </w:tcPr>
          <w:p w14:paraId="62FEC3FC">
            <w:pPr>
              <w:jc w:val="left"/>
            </w:pPr>
            <w:r>
              <w:t>数据来源</w:t>
            </w:r>
          </w:p>
        </w:tc>
        <w:tc>
          <w:tcPr>
            <w:tcW w:w="1384" w:type="dxa"/>
            <w:vAlign w:val="center"/>
          </w:tcPr>
          <w:p w14:paraId="1E8A1738">
            <w:pPr>
              <w:jc w:val="left"/>
            </w:pPr>
            <w:r>
              <w:t>反映内容</w:t>
            </w:r>
          </w:p>
        </w:tc>
      </w:tr>
      <w:tr w14:paraId="0D92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72AE811">
            <w:pPr>
              <w:jc w:val="left"/>
            </w:pPr>
            <w:r>
              <w:rPr>
                <w:b/>
              </w:rPr>
              <w:t>期限利差</w:t>
            </w:r>
          </w:p>
        </w:tc>
        <w:tc>
          <w:tcPr>
            <w:tcW w:w="1384" w:type="dxa"/>
            <w:vAlign w:val="center"/>
          </w:tcPr>
          <w:p w14:paraId="16097C05">
            <w:pPr>
              <w:jc w:val="left"/>
            </w:pPr>
            <w:r>
              <w:t>10Y-2Y 国债利差</w:t>
            </w:r>
          </w:p>
        </w:tc>
        <w:tc>
          <w:tcPr>
            <w:tcW w:w="1384" w:type="dxa"/>
            <w:vAlign w:val="center"/>
          </w:tcPr>
          <w:p w14:paraId="39EAA000">
            <w:pPr>
              <w:jc w:val="left"/>
            </w:pPr>
            <w:r>
              <w:t>CFETS / Wind</w:t>
            </w:r>
          </w:p>
        </w:tc>
        <w:tc>
          <w:tcPr>
            <w:tcW w:w="1384" w:type="dxa"/>
            <w:vAlign w:val="center"/>
          </w:tcPr>
          <w:p w14:paraId="37D3B607">
            <w:pPr>
              <w:jc w:val="left"/>
            </w:pPr>
            <w:r>
              <w:t>10Y-2Y UST 利差</w:t>
            </w:r>
          </w:p>
        </w:tc>
        <w:tc>
          <w:tcPr>
            <w:tcW w:w="1384" w:type="dxa"/>
            <w:vAlign w:val="center"/>
          </w:tcPr>
          <w:p w14:paraId="4F9EBF01">
            <w:pPr>
              <w:jc w:val="left"/>
            </w:pPr>
            <w:r>
              <w:t>Bloomberg / Fed</w:t>
            </w:r>
          </w:p>
        </w:tc>
        <w:tc>
          <w:tcPr>
            <w:tcW w:w="1384" w:type="dxa"/>
            <w:vAlign w:val="center"/>
          </w:tcPr>
          <w:p w14:paraId="22E2D85A">
            <w:pPr>
              <w:jc w:val="left"/>
            </w:pPr>
            <w:r>
              <w:t>增长预期：利差走阔=增长乐观，倒挂=衰退定价</w:t>
            </w:r>
          </w:p>
        </w:tc>
      </w:tr>
      <w:tr w14:paraId="76DE2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A4E246A">
            <w:pPr>
              <w:jc w:val="left"/>
            </w:pPr>
            <w:r>
              <w:rPr>
                <w:b/>
              </w:rPr>
              <w:t>政策利率预期</w:t>
            </w:r>
          </w:p>
        </w:tc>
        <w:tc>
          <w:tcPr>
            <w:tcW w:w="1384" w:type="dxa"/>
            <w:vAlign w:val="center"/>
          </w:tcPr>
          <w:p w14:paraId="6A618E78">
            <w:pPr>
              <w:jc w:val="left"/>
            </w:pPr>
            <w:r>
              <w:t>1Y IRS − 政策利率（7D 逆回购）</w:t>
            </w:r>
          </w:p>
        </w:tc>
        <w:tc>
          <w:tcPr>
            <w:tcW w:w="1384" w:type="dxa"/>
            <w:vAlign w:val="center"/>
          </w:tcPr>
          <w:p w14:paraId="6F34DFBF">
            <w:pPr>
              <w:jc w:val="left"/>
            </w:pPr>
            <w:r>
              <w:t>CFETS / Wind</w:t>
            </w:r>
          </w:p>
        </w:tc>
        <w:tc>
          <w:tcPr>
            <w:tcW w:w="1384" w:type="dxa"/>
            <w:vAlign w:val="center"/>
          </w:tcPr>
          <w:p w14:paraId="38223514">
            <w:pPr>
              <w:jc w:val="left"/>
            </w:pPr>
            <w:r>
              <w:t>Fed Funds Futures 隐含利率</w:t>
            </w:r>
          </w:p>
        </w:tc>
        <w:tc>
          <w:tcPr>
            <w:tcW w:w="1384" w:type="dxa"/>
            <w:vAlign w:val="center"/>
          </w:tcPr>
          <w:p w14:paraId="7818AF07">
            <w:pPr>
              <w:jc w:val="left"/>
            </w:pPr>
            <w:r>
              <w:t>CME / Bloomberg</w:t>
            </w:r>
          </w:p>
        </w:tc>
        <w:tc>
          <w:tcPr>
            <w:tcW w:w="1384" w:type="dxa"/>
            <w:vAlign w:val="center"/>
          </w:tcPr>
          <w:p w14:paraId="11C61CC7">
            <w:pPr>
              <w:jc w:val="left"/>
            </w:pPr>
            <w:r>
              <w:t>降息/加息次数定价：差值为负=市场定价降息，正值=加息</w:t>
            </w:r>
          </w:p>
        </w:tc>
      </w:tr>
      <w:tr w14:paraId="3FB8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03345FFC">
            <w:pPr>
              <w:jc w:val="left"/>
            </w:pPr>
            <w:r>
              <w:rPr>
                <w:b/>
              </w:rPr>
              <w:t>隐含通胀</w:t>
            </w:r>
          </w:p>
        </w:tc>
        <w:tc>
          <w:tcPr>
            <w:tcW w:w="1384" w:type="dxa"/>
            <w:vAlign w:val="center"/>
          </w:tcPr>
          <w:p w14:paraId="6C6FEB83">
            <w:pPr>
              <w:jc w:val="left"/>
            </w:pPr>
            <w:r>
              <w:t>通胀挂钩债隐含通胀（中国暂无成熟品种，以 10Y 国债 − GDP 实际增速近似）</w:t>
            </w:r>
          </w:p>
        </w:tc>
        <w:tc>
          <w:tcPr>
            <w:tcW w:w="1384" w:type="dxa"/>
            <w:vAlign w:val="center"/>
          </w:tcPr>
          <w:p w14:paraId="1FAAEC9A">
            <w:pPr>
              <w:jc w:val="left"/>
            </w:pPr>
            <w:r>
              <w:t>Wind / NBS / 自算</w:t>
            </w:r>
          </w:p>
        </w:tc>
        <w:tc>
          <w:tcPr>
            <w:tcW w:w="1384" w:type="dxa"/>
            <w:vAlign w:val="center"/>
          </w:tcPr>
          <w:p w14:paraId="45764002">
            <w:pPr>
              <w:jc w:val="left"/>
            </w:pPr>
            <w:r>
              <w:t>TIPS 隐含通胀（10Y Breakeven）</w:t>
            </w:r>
          </w:p>
        </w:tc>
        <w:tc>
          <w:tcPr>
            <w:tcW w:w="1384" w:type="dxa"/>
            <w:vAlign w:val="center"/>
          </w:tcPr>
          <w:p w14:paraId="43A59CC5">
            <w:pPr>
              <w:jc w:val="left"/>
            </w:pPr>
            <w:r>
              <w:t>Bloomberg / Treasury</w:t>
            </w:r>
          </w:p>
        </w:tc>
        <w:tc>
          <w:tcPr>
            <w:tcW w:w="1384" w:type="dxa"/>
            <w:vAlign w:val="center"/>
          </w:tcPr>
          <w:p w14:paraId="71EDBE90">
            <w:pPr>
              <w:jc w:val="left"/>
            </w:pPr>
            <w:r>
              <w:t>通胀预期：Breakeven 上升=市场定价通胀上行</w:t>
            </w:r>
          </w:p>
        </w:tc>
      </w:tr>
    </w:tbl>
    <w:p w14:paraId="60AA7E83">
      <w:pPr>
        <w:pStyle w:val="4"/>
      </w:pPr>
      <w:r>
        <w:rPr>
          <w:b/>
        </w:rPr>
        <w:t>中国特殊处理：</w:t>
      </w:r>
      <w:r>
        <w:t xml:space="preserve"> 中国暂无成熟的通胀挂钩债券市场，隐含通胀采用替代方案——10Y 国债名义收益率 − GDP 实际增速（4Q 滚动）作为近似。该替代存在滞后性（GDP 季频发布），高频场景下以 PPI 同比 + 核心 CPI 同比加权作为代理指标。</w:t>
      </w:r>
    </w:p>
    <w:p w14:paraId="21D779CE">
      <w:pPr>
        <w:pBdr>
          <w:bottom w:val="single" w:color="auto" w:sz="8" w:space="0"/>
        </w:pBdr>
      </w:pPr>
    </w:p>
    <w:p w14:paraId="47AD1B7B">
      <w:pPr>
        <w:pStyle w:val="8"/>
      </w:pPr>
      <w:r>
        <w:t>B. 估值反推盈利预期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413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3182024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7CA4324D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52D8A1CC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6B539DFD">
            <w:pPr>
              <w:jc w:val="left"/>
            </w:pPr>
            <w:r>
              <w:t>反映内容</w:t>
            </w:r>
          </w:p>
        </w:tc>
      </w:tr>
      <w:tr w14:paraId="70D6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25FFED5">
            <w:pPr>
              <w:jc w:val="left"/>
            </w:pPr>
            <w:r>
              <w:rPr>
                <w:b/>
              </w:rPr>
              <w:t>前瞻 PE 历史百分位</w:t>
            </w:r>
          </w:p>
        </w:tc>
        <w:tc>
          <w:tcPr>
            <w:tcW w:w="2076" w:type="dxa"/>
            <w:vAlign w:val="center"/>
          </w:tcPr>
          <w:p w14:paraId="384F1438">
            <w:pPr>
              <w:jc w:val="left"/>
            </w:pPr>
            <w:r>
              <w:t>沪深 300 / 标普 500 前瞻 PE（未来 12M 一致预期 EPS）÷ 当前价格，取 5 年滚动百分位</w:t>
            </w:r>
          </w:p>
        </w:tc>
        <w:tc>
          <w:tcPr>
            <w:tcW w:w="2076" w:type="dxa"/>
            <w:vAlign w:val="center"/>
          </w:tcPr>
          <w:p w14:paraId="4593D9FD">
            <w:pPr>
              <w:jc w:val="left"/>
            </w:pPr>
            <w:r>
              <w:t>Wind / Bloomberg / FactSet</w:t>
            </w:r>
          </w:p>
        </w:tc>
        <w:tc>
          <w:tcPr>
            <w:tcW w:w="2076" w:type="dxa"/>
            <w:vAlign w:val="center"/>
          </w:tcPr>
          <w:p w14:paraId="34EC4475">
            <w:pPr>
              <w:jc w:val="left"/>
            </w:pPr>
            <w:r>
              <w:t>估值乐观/悲观程度：&gt;80% = 估值偏乐观，&lt;20% = 偏悲观</w:t>
            </w:r>
          </w:p>
        </w:tc>
      </w:tr>
      <w:tr w14:paraId="05F4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2F8978">
            <w:pPr>
              <w:jc w:val="left"/>
            </w:pPr>
            <w:r>
              <w:rPr>
                <w:b/>
              </w:rPr>
              <w:t>股权风险溢价（ERP）</w:t>
            </w:r>
          </w:p>
        </w:tc>
        <w:tc>
          <w:tcPr>
            <w:tcW w:w="2076" w:type="dxa"/>
            <w:vAlign w:val="center"/>
          </w:tcPr>
          <w:p w14:paraId="2F64E5F5">
            <w:pPr>
              <w:jc w:val="left"/>
            </w:pPr>
            <w:r>
              <w:t>盈利收益率（1/PE）− 10Y 国债收益率</w:t>
            </w:r>
          </w:p>
        </w:tc>
        <w:tc>
          <w:tcPr>
            <w:tcW w:w="2076" w:type="dxa"/>
            <w:vAlign w:val="center"/>
          </w:tcPr>
          <w:p w14:paraId="13E8A1D5">
            <w:pPr>
              <w:jc w:val="left"/>
            </w:pPr>
            <w:r>
              <w:t>Wind / Bloomberg / 自算</w:t>
            </w:r>
          </w:p>
        </w:tc>
        <w:tc>
          <w:tcPr>
            <w:tcW w:w="2076" w:type="dxa"/>
            <w:vAlign w:val="center"/>
          </w:tcPr>
          <w:p w14:paraId="02D4D8A5">
            <w:pPr>
              <w:jc w:val="left"/>
            </w:pPr>
            <w:r>
              <w:t>风险定价水平：ERP 极高=市场过度悲观，ERP 极低=过度乐观</w:t>
            </w:r>
          </w:p>
        </w:tc>
      </w:tr>
      <w:tr w14:paraId="1605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B1400F0">
            <w:pPr>
              <w:jc w:val="left"/>
            </w:pPr>
            <w:r>
              <w:rPr>
                <w:b/>
              </w:rPr>
              <w:t>周期股/防御股相对估值</w:t>
            </w:r>
          </w:p>
        </w:tc>
        <w:tc>
          <w:tcPr>
            <w:tcW w:w="2076" w:type="dxa"/>
            <w:vAlign w:val="center"/>
          </w:tcPr>
          <w:p w14:paraId="0DEA905B">
            <w:pPr>
              <w:jc w:val="left"/>
            </w:pPr>
            <w:r>
              <w:t>中证周期指数 PE ÷ 中证防御指数 PE；标普周期板块 PE ÷ 标普防御板块 PE</w:t>
            </w:r>
          </w:p>
        </w:tc>
        <w:tc>
          <w:tcPr>
            <w:tcW w:w="2076" w:type="dxa"/>
            <w:vAlign w:val="center"/>
          </w:tcPr>
          <w:p w14:paraId="20FDB380">
            <w:pPr>
              <w:jc w:val="left"/>
            </w:pPr>
            <w:r>
              <w:t>Wind / Bloomberg</w:t>
            </w:r>
          </w:p>
        </w:tc>
        <w:tc>
          <w:tcPr>
            <w:tcW w:w="2076" w:type="dxa"/>
            <w:vAlign w:val="center"/>
          </w:tcPr>
          <w:p w14:paraId="15C51AA9">
            <w:pPr>
              <w:jc w:val="left"/>
            </w:pPr>
            <w:r>
              <w:t>市场对周期复苏的定价：相对估值上升=市场定价复苏</w:t>
            </w:r>
          </w:p>
        </w:tc>
      </w:tr>
      <w:tr w14:paraId="75CD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4AEDAB1">
            <w:pPr>
              <w:jc w:val="left"/>
            </w:pPr>
            <w:r>
              <w:rPr>
                <w:b/>
              </w:rPr>
              <w:t>A-H 溢价</w:t>
            </w:r>
          </w:p>
        </w:tc>
        <w:tc>
          <w:tcPr>
            <w:tcW w:w="2076" w:type="dxa"/>
            <w:vAlign w:val="center"/>
          </w:tcPr>
          <w:p w14:paraId="06062374">
            <w:pPr>
              <w:jc w:val="left"/>
            </w:pPr>
            <w:r>
              <w:t>恒生 AH 溢价指数（H 股价格 ÷ A 股价格，按汇率调整）</w:t>
            </w:r>
          </w:p>
        </w:tc>
        <w:tc>
          <w:tcPr>
            <w:tcW w:w="2076" w:type="dxa"/>
            <w:vAlign w:val="center"/>
          </w:tcPr>
          <w:p w14:paraId="63F8DC0B">
            <w:pPr>
              <w:jc w:val="left"/>
            </w:pPr>
            <w:r>
              <w:t>HKEX / Wind</w:t>
            </w:r>
          </w:p>
        </w:tc>
        <w:tc>
          <w:tcPr>
            <w:tcW w:w="2076" w:type="dxa"/>
            <w:vAlign w:val="center"/>
          </w:tcPr>
          <w:p w14:paraId="6AEE14A5">
            <w:pPr>
              <w:jc w:val="left"/>
            </w:pPr>
            <w:r>
              <w:t>国别风险定价差异：溢价扩大=中国本土风险偏好更低或资本管制溢价上升</w:t>
            </w:r>
          </w:p>
        </w:tc>
      </w:tr>
    </w:tbl>
    <w:p w14:paraId="5D494F76">
      <w:pPr>
        <w:pBdr>
          <w:bottom w:val="single" w:color="auto" w:sz="8" w:space="0"/>
        </w:pBdr>
      </w:pPr>
    </w:p>
    <w:p w14:paraId="53C63EB1">
      <w:pPr>
        <w:pStyle w:val="8"/>
      </w:pPr>
      <w:r>
        <w:t>C. 汇率反推资本流动预期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3B5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A52F0A3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6FFE4306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3C332468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262A6E51">
            <w:pPr>
              <w:jc w:val="left"/>
            </w:pPr>
            <w:r>
              <w:t>反映内容</w:t>
            </w:r>
          </w:p>
        </w:tc>
      </w:tr>
      <w:tr w14:paraId="674B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800C424">
            <w:pPr>
              <w:jc w:val="left"/>
            </w:pPr>
            <w:r>
              <w:rPr>
                <w:b/>
              </w:rPr>
              <w:t>USD/CNH 1Y 远期点</w:t>
            </w:r>
          </w:p>
        </w:tc>
        <w:tc>
          <w:tcPr>
            <w:tcW w:w="2076" w:type="dxa"/>
            <w:vAlign w:val="center"/>
          </w:tcPr>
          <w:p w14:paraId="26838E57">
            <w:pPr>
              <w:jc w:val="left"/>
            </w:pPr>
            <w:r>
              <w:t>USD/CNH 1Y 远期汇率 − 即期汇率</w:t>
            </w:r>
          </w:p>
        </w:tc>
        <w:tc>
          <w:tcPr>
            <w:tcW w:w="2076" w:type="dxa"/>
            <w:vAlign w:val="center"/>
          </w:tcPr>
          <w:p w14:paraId="46693BDC">
            <w:pPr>
              <w:jc w:val="left"/>
            </w:pPr>
            <w:r>
              <w:t>Bloomberg / HKMA / Wind</w:t>
            </w:r>
          </w:p>
        </w:tc>
        <w:tc>
          <w:tcPr>
            <w:tcW w:w="2076" w:type="dxa"/>
            <w:vAlign w:val="center"/>
          </w:tcPr>
          <w:p w14:paraId="5F9A56DE">
            <w:pPr>
              <w:jc w:val="left"/>
            </w:pPr>
            <w:r>
              <w:t>隐含贬值预期：远期点为正=市场定价人民币贬值</w:t>
            </w:r>
          </w:p>
        </w:tc>
      </w:tr>
      <w:tr w14:paraId="6A77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11AC09C">
            <w:pPr>
              <w:jc w:val="left"/>
            </w:pPr>
            <w:r>
              <w:rPr>
                <w:b/>
              </w:rPr>
              <w:t>CNH-CNY 价差</w:t>
            </w:r>
          </w:p>
        </w:tc>
        <w:tc>
          <w:tcPr>
            <w:tcW w:w="2076" w:type="dxa"/>
            <w:vAlign w:val="center"/>
          </w:tcPr>
          <w:p w14:paraId="4861342D">
            <w:pPr>
              <w:jc w:val="left"/>
            </w:pPr>
            <w:r>
              <w:t>离岸 CNH 即期 − 在岸 CNY 即期</w:t>
            </w:r>
          </w:p>
        </w:tc>
        <w:tc>
          <w:tcPr>
            <w:tcW w:w="2076" w:type="dxa"/>
            <w:vAlign w:val="center"/>
          </w:tcPr>
          <w:p w14:paraId="450A26A2">
            <w:pPr>
              <w:jc w:val="left"/>
            </w:pPr>
            <w:r>
              <w:t>Bloomberg / CFETS / Wind</w:t>
            </w:r>
          </w:p>
        </w:tc>
        <w:tc>
          <w:tcPr>
            <w:tcW w:w="2076" w:type="dxa"/>
            <w:vAlign w:val="center"/>
          </w:tcPr>
          <w:p w14:paraId="5599A1A0">
            <w:pPr>
              <w:jc w:val="left"/>
            </w:pPr>
            <w:r>
              <w:t>离岸贬值压力：价差扩大=离岸市场看空意愿增强</w:t>
            </w:r>
          </w:p>
        </w:tc>
      </w:tr>
      <w:tr w14:paraId="6A8A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DEFC8B1">
            <w:pPr>
              <w:jc w:val="left"/>
            </w:pPr>
            <w:r>
              <w:rPr>
                <w:b/>
              </w:rPr>
              <w:t>人民币期权波动率微笑</w:t>
            </w:r>
          </w:p>
        </w:tc>
        <w:tc>
          <w:tcPr>
            <w:tcW w:w="2076" w:type="dxa"/>
            <w:vAlign w:val="center"/>
          </w:tcPr>
          <w:p w14:paraId="3DF5876E">
            <w:pPr>
              <w:jc w:val="left"/>
            </w:pPr>
            <w:r>
              <w:t>USD/CNH 期权 25Δ Risk Reversal（看涨波动率 − 看跌波动率）</w:t>
            </w:r>
          </w:p>
        </w:tc>
        <w:tc>
          <w:tcPr>
            <w:tcW w:w="2076" w:type="dxa"/>
            <w:vAlign w:val="center"/>
          </w:tcPr>
          <w:p w14:paraId="1F12C96D">
            <w:pPr>
              <w:jc w:val="left"/>
            </w:pPr>
            <w:r>
              <w:t>Bloomberg / CFETS</w:t>
            </w:r>
          </w:p>
        </w:tc>
        <w:tc>
          <w:tcPr>
            <w:tcW w:w="2076" w:type="dxa"/>
            <w:vAlign w:val="center"/>
          </w:tcPr>
          <w:p w14:paraId="713C6B18">
            <w:pPr>
              <w:jc w:val="left"/>
            </w:pPr>
            <w:r>
              <w:t>极端贬值的尾部风险定价：Risk Reversal 为正=市场为贬值尾部支付更高溢价</w:t>
            </w:r>
          </w:p>
        </w:tc>
      </w:tr>
    </w:tbl>
    <w:p w14:paraId="30E05CC3">
      <w:pPr>
        <w:pBdr>
          <w:bottom w:val="single" w:color="auto" w:sz="8" w:space="0"/>
        </w:pBdr>
      </w:pPr>
    </w:p>
    <w:p w14:paraId="5FF62940">
      <w:pPr>
        <w:pStyle w:val="8"/>
      </w:pPr>
      <w:r>
        <w:t>D. 商品反推全球需求预期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F70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0FB663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0721B1BF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70ED0887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36FF7FAA">
            <w:pPr>
              <w:jc w:val="left"/>
            </w:pPr>
            <w:r>
              <w:t>反映内容</w:t>
            </w:r>
          </w:p>
        </w:tc>
      </w:tr>
      <w:tr w14:paraId="35F9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154CB14">
            <w:pPr>
              <w:jc w:val="left"/>
            </w:pPr>
            <w:r>
              <w:rPr>
                <w:b/>
              </w:rPr>
              <w:t>铜金比</w:t>
            </w:r>
          </w:p>
        </w:tc>
        <w:tc>
          <w:tcPr>
            <w:tcW w:w="2076" w:type="dxa"/>
            <w:vAlign w:val="center"/>
          </w:tcPr>
          <w:p w14:paraId="33BD45D9">
            <w:pPr>
              <w:jc w:val="left"/>
            </w:pPr>
            <w:r>
              <w:t>LME 铜价 ÷ 伦敦金价</w:t>
            </w:r>
          </w:p>
        </w:tc>
        <w:tc>
          <w:tcPr>
            <w:tcW w:w="2076" w:type="dxa"/>
            <w:vAlign w:val="center"/>
          </w:tcPr>
          <w:p w14:paraId="0588A3D2">
            <w:pPr>
              <w:jc w:val="left"/>
            </w:pPr>
            <w:r>
              <w:t>LME / LBMA / Bloomberg</w:t>
            </w:r>
          </w:p>
        </w:tc>
        <w:tc>
          <w:tcPr>
            <w:tcW w:w="2076" w:type="dxa"/>
            <w:vAlign w:val="center"/>
          </w:tcPr>
          <w:p w14:paraId="44FBA9A8">
            <w:pPr>
              <w:jc w:val="left"/>
            </w:pPr>
            <w:r>
              <w:t>全球工业需求预期：铜金比上升=市场定价全球工业需求好转</w:t>
            </w:r>
          </w:p>
        </w:tc>
      </w:tr>
      <w:tr w14:paraId="20A2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1516EB0">
            <w:pPr>
              <w:jc w:val="left"/>
            </w:pPr>
            <w:r>
              <w:rPr>
                <w:b/>
              </w:rPr>
              <w:t>远月/近月期货价差</w:t>
            </w:r>
          </w:p>
        </w:tc>
        <w:tc>
          <w:tcPr>
            <w:tcW w:w="2076" w:type="dxa"/>
            <w:vAlign w:val="center"/>
          </w:tcPr>
          <w:p w14:paraId="558DD4D5">
            <w:pPr>
              <w:jc w:val="left"/>
            </w:pPr>
            <w:r>
              <w:t>铜第12合约 − 铜第1合约；黄金第12合约 − 黄金第1合约</w:t>
            </w:r>
          </w:p>
        </w:tc>
        <w:tc>
          <w:tcPr>
            <w:tcW w:w="2076" w:type="dxa"/>
            <w:vAlign w:val="center"/>
          </w:tcPr>
          <w:p w14:paraId="5345102D">
            <w:pPr>
              <w:jc w:val="left"/>
            </w:pPr>
            <w:r>
              <w:t>SHFE / LME / ICE / Bloomberg</w:t>
            </w:r>
          </w:p>
        </w:tc>
        <w:tc>
          <w:tcPr>
            <w:tcW w:w="2076" w:type="dxa"/>
            <w:vAlign w:val="center"/>
          </w:tcPr>
          <w:p w14:paraId="37E9C423">
            <w:pPr>
              <w:jc w:val="left"/>
            </w:pPr>
            <w:r>
              <w:t>库存周期和需求预期：Back 结构（近&gt;远）= 现货紧缺/需求强；Contango（远&gt;近）= 需求弱/库存堆积</w:t>
            </w:r>
          </w:p>
        </w:tc>
      </w:tr>
      <w:tr w14:paraId="1289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D02B911">
            <w:pPr>
              <w:jc w:val="left"/>
            </w:pPr>
            <w:r>
              <w:rPr>
                <w:b/>
              </w:rPr>
              <w:t>黄金/铜 vs 全球 PMI 隐含值</w:t>
            </w:r>
          </w:p>
        </w:tc>
        <w:tc>
          <w:tcPr>
            <w:tcW w:w="2076" w:type="dxa"/>
            <w:vAlign w:val="center"/>
          </w:tcPr>
          <w:p w14:paraId="116892A6">
            <w:pPr>
              <w:jc w:val="left"/>
            </w:pPr>
            <w:r>
              <w:t>黄金/铜指数同比 − 全球制造业 PMI 同比变化隐含的水平</w:t>
            </w:r>
          </w:p>
        </w:tc>
        <w:tc>
          <w:tcPr>
            <w:tcW w:w="2076" w:type="dxa"/>
            <w:vAlign w:val="center"/>
          </w:tcPr>
          <w:p w14:paraId="77329076">
            <w:pPr>
              <w:jc w:val="left"/>
            </w:pPr>
            <w:r>
              <w:t>南华期货 / JPM Global / 自算</w:t>
            </w:r>
          </w:p>
        </w:tc>
        <w:tc>
          <w:tcPr>
            <w:tcW w:w="2076" w:type="dxa"/>
            <w:vAlign w:val="center"/>
          </w:tcPr>
          <w:p w14:paraId="386D00CE">
            <w:pPr>
              <w:jc w:val="left"/>
            </w:pPr>
            <w:r>
              <w:t>国内 vs 国外需求分化：背离=中国独立定价逻辑强化</w:t>
            </w:r>
          </w:p>
        </w:tc>
      </w:tr>
    </w:tbl>
    <w:p w14:paraId="6309A31D">
      <w:pPr>
        <w:pBdr>
          <w:bottom w:val="single" w:color="auto" w:sz="8" w:space="0"/>
        </w:pBdr>
      </w:pPr>
    </w:p>
    <w:p w14:paraId="3102B168">
      <w:pPr>
        <w:pStyle w:val="8"/>
      </w:pPr>
      <w:r>
        <w:t>E. 信用反推风险偏好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DBE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6AADD8D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3C134118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13C247D0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4A33E5AB">
            <w:pPr>
              <w:jc w:val="left"/>
            </w:pPr>
            <w:r>
              <w:t>反映内容</w:t>
            </w:r>
          </w:p>
        </w:tc>
      </w:tr>
      <w:tr w14:paraId="407E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CBC6D76">
            <w:pPr>
              <w:jc w:val="left"/>
            </w:pPr>
            <w:r>
              <w:rPr>
                <w:b/>
              </w:rPr>
              <w:t>AA 信用利差</w:t>
            </w:r>
          </w:p>
        </w:tc>
        <w:tc>
          <w:tcPr>
            <w:tcW w:w="2076" w:type="dxa"/>
            <w:vAlign w:val="center"/>
          </w:tcPr>
          <w:p w14:paraId="0D1754AD">
            <w:pPr>
              <w:jc w:val="left"/>
            </w:pPr>
            <w:r>
              <w:t>3Y AA 中票到期收益率 − 3Y 国开债到期收益率</w:t>
            </w:r>
          </w:p>
        </w:tc>
        <w:tc>
          <w:tcPr>
            <w:tcW w:w="2076" w:type="dxa"/>
            <w:vAlign w:val="center"/>
          </w:tcPr>
          <w:p w14:paraId="3445C50A">
            <w:pPr>
              <w:jc w:val="left"/>
            </w:pPr>
            <w:r>
              <w:t>Wind / Chinabond</w:t>
            </w:r>
          </w:p>
        </w:tc>
        <w:tc>
          <w:tcPr>
            <w:tcW w:w="2076" w:type="dxa"/>
            <w:vAlign w:val="center"/>
          </w:tcPr>
          <w:p w14:paraId="47BE6721">
            <w:pPr>
              <w:jc w:val="left"/>
            </w:pPr>
            <w:r>
              <w:t>风险定价：利差走阔=市场定价信用风险上升</w:t>
            </w:r>
          </w:p>
        </w:tc>
      </w:tr>
      <w:tr w14:paraId="17DC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F15C25C">
            <w:pPr>
              <w:jc w:val="left"/>
            </w:pPr>
            <w:r>
              <w:rPr>
                <w:b/>
              </w:rPr>
              <w:t>城投债-国开债利差</w:t>
            </w:r>
          </w:p>
        </w:tc>
        <w:tc>
          <w:tcPr>
            <w:tcW w:w="2076" w:type="dxa"/>
            <w:vAlign w:val="center"/>
          </w:tcPr>
          <w:p w14:paraId="3636C4F0">
            <w:pPr>
              <w:jc w:val="left"/>
            </w:pPr>
            <w:r>
              <w:t>AA 城投债（3Y）到期收益率 − 3Y 国开债到期收益率</w:t>
            </w:r>
          </w:p>
        </w:tc>
        <w:tc>
          <w:tcPr>
            <w:tcW w:w="2076" w:type="dxa"/>
            <w:vAlign w:val="center"/>
          </w:tcPr>
          <w:p w14:paraId="0D2F5549">
            <w:pPr>
              <w:jc w:val="left"/>
            </w:pPr>
            <w:r>
              <w:t>Wind / Chinabond</w:t>
            </w:r>
          </w:p>
        </w:tc>
        <w:tc>
          <w:tcPr>
            <w:tcW w:w="2076" w:type="dxa"/>
            <w:vAlign w:val="center"/>
          </w:tcPr>
          <w:p w14:paraId="7E83F61E">
            <w:pPr>
              <w:jc w:val="left"/>
            </w:pPr>
            <w:r>
              <w:t>政府救助预期：利差收窄=市场定价政府兜底概率上升</w:t>
            </w:r>
          </w:p>
        </w:tc>
      </w:tr>
      <w:tr w14:paraId="2A31A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E7A5F24">
            <w:pPr>
              <w:jc w:val="left"/>
            </w:pPr>
            <w:r>
              <w:rPr>
                <w:b/>
              </w:rPr>
              <w:t>高收益债 vs 投资级利差</w:t>
            </w:r>
          </w:p>
        </w:tc>
        <w:tc>
          <w:tcPr>
            <w:tcW w:w="2076" w:type="dxa"/>
            <w:vAlign w:val="center"/>
          </w:tcPr>
          <w:p w14:paraId="01BDCD90">
            <w:pPr>
              <w:jc w:val="left"/>
            </w:pPr>
            <w:r>
              <w:t>中国高收益债指数 OAS − 投资级指数 OAS</w:t>
            </w:r>
          </w:p>
        </w:tc>
        <w:tc>
          <w:tcPr>
            <w:tcW w:w="2076" w:type="dxa"/>
            <w:vAlign w:val="center"/>
          </w:tcPr>
          <w:p w14:paraId="58313B23">
            <w:pPr>
              <w:jc w:val="left"/>
            </w:pPr>
            <w:r>
              <w:t>Wind / Iceberg / Bloomberg</w:t>
            </w:r>
          </w:p>
        </w:tc>
        <w:tc>
          <w:tcPr>
            <w:tcW w:w="2076" w:type="dxa"/>
            <w:vAlign w:val="center"/>
          </w:tcPr>
          <w:p w14:paraId="505C482B">
            <w:pPr>
              <w:jc w:val="left"/>
            </w:pPr>
            <w:r>
              <w:t>经济信心：利差极阔=市场定价经济衰退/违约潮</w:t>
            </w:r>
          </w:p>
        </w:tc>
      </w:tr>
    </w:tbl>
    <w:p w14:paraId="27F32216">
      <w:pPr>
        <w:pBdr>
          <w:bottom w:val="single" w:color="auto" w:sz="8" w:space="0"/>
        </w:pBdr>
      </w:pPr>
    </w:p>
    <w:p w14:paraId="4617F5C0">
      <w:pPr>
        <w:pStyle w:val="9"/>
      </w:pPr>
      <w:r>
        <w:t>3.3 数据可获得性与优先级</w:t>
      </w:r>
    </w:p>
    <w:p w14:paraId="5B182261">
      <w:pPr>
        <w:pStyle w:val="4"/>
      </w:pPr>
      <w:r>
        <w:t>中国市场隐含预期数据可获得性评估：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D76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F317FA4">
            <w:pPr>
              <w:jc w:val="left"/>
            </w:pPr>
            <w:r>
              <w:t>类别</w:t>
            </w:r>
          </w:p>
        </w:tc>
        <w:tc>
          <w:tcPr>
            <w:tcW w:w="1661" w:type="dxa"/>
            <w:vAlign w:val="center"/>
          </w:tcPr>
          <w:p w14:paraId="4777CC29">
            <w:pPr>
              <w:jc w:val="left"/>
            </w:pPr>
            <w:r>
              <w:t>可获得性</w:t>
            </w:r>
          </w:p>
        </w:tc>
        <w:tc>
          <w:tcPr>
            <w:tcW w:w="1661" w:type="dxa"/>
            <w:vAlign w:val="center"/>
          </w:tcPr>
          <w:p w14:paraId="556F609F">
            <w:pPr>
              <w:jc w:val="left"/>
            </w:pPr>
            <w:r>
              <w:t>评级</w:t>
            </w:r>
          </w:p>
        </w:tc>
        <w:tc>
          <w:tcPr>
            <w:tcW w:w="1661" w:type="dxa"/>
            <w:vAlign w:val="center"/>
          </w:tcPr>
          <w:p w14:paraId="230140ED">
            <w:pPr>
              <w:jc w:val="left"/>
            </w:pPr>
            <w:r>
              <w:t>优先级</w:t>
            </w:r>
          </w:p>
        </w:tc>
        <w:tc>
          <w:tcPr>
            <w:tcW w:w="1661" w:type="dxa"/>
            <w:vAlign w:val="center"/>
          </w:tcPr>
          <w:p w14:paraId="4F5969D8">
            <w:pPr>
              <w:jc w:val="left"/>
            </w:pPr>
            <w:r>
              <w:t>说明</w:t>
            </w:r>
          </w:p>
        </w:tc>
      </w:tr>
      <w:tr w14:paraId="4882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126FE77">
            <w:pPr>
              <w:jc w:val="left"/>
            </w:pPr>
            <w:r>
              <w:t>A. 利率隐含</w:t>
            </w:r>
          </w:p>
        </w:tc>
        <w:tc>
          <w:tcPr>
            <w:tcW w:w="1661" w:type="dxa"/>
            <w:vAlign w:val="center"/>
          </w:tcPr>
          <w:p w14:paraId="4F410AC7">
            <w:pPr>
              <w:jc w:val="left"/>
            </w:pPr>
            <w:r>
              <w:t>利率曲线数据完整，IRS 数据可得</w:t>
            </w:r>
          </w:p>
        </w:tc>
        <w:tc>
          <w:tcPr>
            <w:tcW w:w="1661" w:type="dxa"/>
            <w:vAlign w:val="center"/>
          </w:tcPr>
          <w:p w14:paraId="133E1FE4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4AA0DCA8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0C6590EE">
            <w:pPr>
              <w:jc w:val="left"/>
            </w:pPr>
            <w:r>
              <w:t>10Y-2Y 利差、IRS 隐含降息次数可直接计算</w:t>
            </w:r>
          </w:p>
        </w:tc>
      </w:tr>
      <w:tr w14:paraId="3B3A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7970811">
            <w:pPr>
              <w:jc w:val="left"/>
            </w:pPr>
            <w:r>
              <w:t>B. 估值隐含</w:t>
            </w:r>
          </w:p>
        </w:tc>
        <w:tc>
          <w:tcPr>
            <w:tcW w:w="1661" w:type="dxa"/>
            <w:vAlign w:val="center"/>
          </w:tcPr>
          <w:p w14:paraId="6BCA09E6">
            <w:pPr>
              <w:jc w:val="left"/>
            </w:pPr>
            <w:r>
              <w:t>PE/PB/ERP 数据成熟</w:t>
            </w:r>
          </w:p>
        </w:tc>
        <w:tc>
          <w:tcPr>
            <w:tcW w:w="1661" w:type="dxa"/>
            <w:vAlign w:val="center"/>
          </w:tcPr>
          <w:p w14:paraId="17A3C341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0A6029B4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53256EB8">
            <w:pPr>
              <w:jc w:val="left"/>
            </w:pPr>
            <w:r>
              <w:t>Wind/Bloomberg 标准化提供，A-H 溢价有现成指数</w:t>
            </w:r>
          </w:p>
        </w:tc>
      </w:tr>
      <w:tr w14:paraId="247E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C8B7E02">
            <w:pPr>
              <w:jc w:val="left"/>
            </w:pPr>
            <w:r>
              <w:t>C. 汇率隐含</w:t>
            </w:r>
          </w:p>
        </w:tc>
        <w:tc>
          <w:tcPr>
            <w:tcW w:w="1661" w:type="dxa"/>
            <w:vAlign w:val="center"/>
          </w:tcPr>
          <w:p w14:paraId="6B7AB8CE">
            <w:pPr>
              <w:jc w:val="left"/>
            </w:pPr>
            <w:r>
              <w:t>远期点可得，期权数据部分受限</w:t>
            </w:r>
          </w:p>
        </w:tc>
        <w:tc>
          <w:tcPr>
            <w:tcW w:w="1661" w:type="dxa"/>
            <w:vAlign w:val="center"/>
          </w:tcPr>
          <w:p w14:paraId="4BA076AF">
            <w:pPr>
              <w:jc w:val="left"/>
            </w:pPr>
            <w:r>
              <w:t>中等</w:t>
            </w:r>
          </w:p>
        </w:tc>
        <w:tc>
          <w:tcPr>
            <w:tcW w:w="1661" w:type="dxa"/>
            <w:vAlign w:val="center"/>
          </w:tcPr>
          <w:p w14:paraId="3A35546A">
            <w:pPr>
              <w:jc w:val="left"/>
            </w:pPr>
            <w:r>
              <w:t>P2</w:t>
            </w:r>
          </w:p>
        </w:tc>
        <w:tc>
          <w:tcPr>
            <w:tcW w:w="1661" w:type="dxa"/>
            <w:vAlign w:val="center"/>
          </w:tcPr>
          <w:p w14:paraId="40E5F354">
            <w:pPr>
              <w:jc w:val="left"/>
            </w:pPr>
            <w:r>
              <w:t>远期点无障碍；期权波动率微笑需 Bloomberg 终端或特殊数据源</w:t>
            </w:r>
          </w:p>
        </w:tc>
      </w:tr>
      <w:tr w14:paraId="0432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1BD1DF1">
            <w:pPr>
              <w:jc w:val="left"/>
            </w:pPr>
            <w:r>
              <w:t>D. 商品隐含</w:t>
            </w:r>
          </w:p>
        </w:tc>
        <w:tc>
          <w:tcPr>
            <w:tcW w:w="1661" w:type="dxa"/>
            <w:vAlign w:val="center"/>
          </w:tcPr>
          <w:p w14:paraId="3A8DE779">
            <w:pPr>
              <w:jc w:val="left"/>
            </w:pPr>
            <w:r>
              <w:t>期货价格公开，比值可直接计算</w:t>
            </w:r>
          </w:p>
        </w:tc>
        <w:tc>
          <w:tcPr>
            <w:tcW w:w="1661" w:type="dxa"/>
            <w:vAlign w:val="center"/>
          </w:tcPr>
          <w:p w14:paraId="068E049D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5896D7E2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39D94C41">
            <w:pPr>
              <w:jc w:val="left"/>
            </w:pPr>
            <w:r>
              <w:t>LME/SHFE 数据公开透明，价差计算简单</w:t>
            </w:r>
          </w:p>
        </w:tc>
      </w:tr>
      <w:tr w14:paraId="0101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818A66A">
            <w:pPr>
              <w:jc w:val="left"/>
            </w:pPr>
            <w:r>
              <w:t>E. 信用隐含</w:t>
            </w:r>
          </w:p>
        </w:tc>
        <w:tc>
          <w:tcPr>
            <w:tcW w:w="1661" w:type="dxa"/>
            <w:vAlign w:val="center"/>
          </w:tcPr>
          <w:p w14:paraId="4928CB49">
            <w:pPr>
              <w:jc w:val="left"/>
            </w:pPr>
            <w:r>
              <w:t>信用利差数据可得但滞后</w:t>
            </w:r>
          </w:p>
        </w:tc>
        <w:tc>
          <w:tcPr>
            <w:tcW w:w="1661" w:type="dxa"/>
            <w:vAlign w:val="center"/>
          </w:tcPr>
          <w:p w14:paraId="08F57D1D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651F502A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3F56AD89">
            <w:pPr>
              <w:jc w:val="left"/>
            </w:pPr>
            <w:r>
              <w:t>Wind 提供各评级信用利差，更新频率为日度</w:t>
            </w:r>
          </w:p>
        </w:tc>
      </w:tr>
    </w:tbl>
    <w:p w14:paraId="5511FC32">
      <w:pPr>
        <w:pStyle w:val="4"/>
      </w:pPr>
      <w:r>
        <w:rPr>
          <w:b/>
        </w:rPr>
        <w:t>实现优先级：</w:t>
      </w:r>
      <w:r>
        <w:t xml:space="preserve"> P1 类（利率、估值、商品、信用）优先实现，C 类汇率期权部分作为 P2 后续补全。首期可用远期点和 CNH-CNY 价差覆盖汇率维度核心需求。</w:t>
      </w:r>
    </w:p>
    <w:p w14:paraId="4FFF04CD">
      <w:pPr>
        <w:pBdr>
          <w:bottom w:val="single" w:color="auto" w:sz="8" w:space="0"/>
        </w:pBdr>
      </w:pPr>
    </w:p>
    <w:p w14:paraId="6469AB7D">
      <w:pPr>
        <w:pStyle w:val="9"/>
      </w:pPr>
      <w:r>
        <w:t>3.4 Layer 3 输出形态</w:t>
      </w:r>
    </w:p>
    <w:p w14:paraId="3F72C95E">
      <w:pPr>
        <w:pStyle w:val="4"/>
      </w:pPr>
      <w:r>
        <w:t>每周更新</w:t>
      </w:r>
      <w:r>
        <w:rPr>
          <w:b/>
        </w:rPr>
        <w:t>市场定价画像</w:t>
      </w:r>
      <w:r>
        <w:t>，5 类指标的中国/美国隐含预期得分，与 Layer 1 的实际状态得分并列对照：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D20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0D155155">
            <w:pPr>
              <w:jc w:val="left"/>
            </w:pPr>
            <w:r>
              <w:t>维度</w:t>
            </w:r>
          </w:p>
        </w:tc>
        <w:tc>
          <w:tcPr>
            <w:tcW w:w="1186" w:type="dxa"/>
            <w:vAlign w:val="center"/>
          </w:tcPr>
          <w:p w14:paraId="6549886F">
            <w:pPr>
              <w:jc w:val="left"/>
            </w:pPr>
            <w:r>
              <w:t>中国实际状态（Layer 1）</w:t>
            </w:r>
          </w:p>
        </w:tc>
        <w:tc>
          <w:tcPr>
            <w:tcW w:w="1186" w:type="dxa"/>
            <w:vAlign w:val="center"/>
          </w:tcPr>
          <w:p w14:paraId="6D47AA85">
            <w:pPr>
              <w:jc w:val="left"/>
            </w:pPr>
            <w:r>
              <w:t>中国市场定价（Layer 3）</w:t>
            </w:r>
          </w:p>
        </w:tc>
        <w:tc>
          <w:tcPr>
            <w:tcW w:w="1186" w:type="dxa"/>
            <w:vAlign w:val="center"/>
          </w:tcPr>
          <w:p w14:paraId="7501C34C">
            <w:pPr>
              <w:jc w:val="left"/>
            </w:pPr>
            <w:r>
              <w:t>定价偏差</w:t>
            </w:r>
          </w:p>
        </w:tc>
        <w:tc>
          <w:tcPr>
            <w:tcW w:w="1186" w:type="dxa"/>
            <w:vAlign w:val="center"/>
          </w:tcPr>
          <w:p w14:paraId="5A7A84FA">
            <w:pPr>
              <w:jc w:val="left"/>
            </w:pPr>
            <w:r>
              <w:t>美国实际状态（Layer 1）</w:t>
            </w:r>
          </w:p>
        </w:tc>
        <w:tc>
          <w:tcPr>
            <w:tcW w:w="1186" w:type="dxa"/>
            <w:vAlign w:val="center"/>
          </w:tcPr>
          <w:p w14:paraId="51B9543A">
            <w:pPr>
              <w:jc w:val="left"/>
            </w:pPr>
            <w:r>
              <w:t>美国市场定价（Layer 3）</w:t>
            </w:r>
          </w:p>
        </w:tc>
        <w:tc>
          <w:tcPr>
            <w:tcW w:w="1186" w:type="dxa"/>
            <w:vAlign w:val="center"/>
          </w:tcPr>
          <w:p w14:paraId="50E1E996">
            <w:pPr>
              <w:jc w:val="left"/>
            </w:pPr>
            <w:r>
              <w:t>定价偏差</w:t>
            </w:r>
          </w:p>
        </w:tc>
      </w:tr>
      <w:tr w14:paraId="7007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1996BE70">
            <w:pPr>
              <w:jc w:val="left"/>
            </w:pPr>
            <w:r>
              <w:t>增长</w:t>
            </w:r>
          </w:p>
        </w:tc>
        <w:tc>
          <w:tcPr>
            <w:tcW w:w="1186" w:type="dxa"/>
            <w:vAlign w:val="center"/>
          </w:tcPr>
          <w:p w14:paraId="3C7968D5">
            <w:pPr>
              <w:jc w:val="left"/>
            </w:pPr>
            <w:r>
              <w:t>CAI = +0.3σ</w:t>
            </w:r>
          </w:p>
        </w:tc>
        <w:tc>
          <w:tcPr>
            <w:tcW w:w="1186" w:type="dxa"/>
            <w:vAlign w:val="center"/>
          </w:tcPr>
          <w:p w14:paraId="1960D293">
            <w:pPr>
              <w:jc w:val="left"/>
            </w:pPr>
            <w:r>
              <w:t>利率隐含 = +0.8σ</w:t>
            </w:r>
          </w:p>
        </w:tc>
        <w:tc>
          <w:tcPr>
            <w:tcW w:w="1186" w:type="dxa"/>
            <w:vAlign w:val="center"/>
          </w:tcPr>
          <w:p w14:paraId="148FCF50">
            <w:pPr>
              <w:jc w:val="left"/>
            </w:pPr>
            <w:r>
              <w:t>−0.5σ</w:t>
            </w:r>
          </w:p>
        </w:tc>
        <w:tc>
          <w:tcPr>
            <w:tcW w:w="1186" w:type="dxa"/>
            <w:vAlign w:val="center"/>
          </w:tcPr>
          <w:p w14:paraId="3E0B259A">
            <w:pPr>
              <w:jc w:val="left"/>
            </w:pPr>
            <w:r>
              <w:t>CAI = +1.1σ</w:t>
            </w:r>
          </w:p>
        </w:tc>
        <w:tc>
          <w:tcPr>
            <w:tcW w:w="1186" w:type="dxa"/>
            <w:vAlign w:val="center"/>
          </w:tcPr>
          <w:p w14:paraId="0A18BCAC">
            <w:pPr>
              <w:jc w:val="left"/>
            </w:pPr>
            <w:r>
              <w:t>利率隐含 = +0.6σ</w:t>
            </w:r>
          </w:p>
        </w:tc>
        <w:tc>
          <w:tcPr>
            <w:tcW w:w="1186" w:type="dxa"/>
            <w:vAlign w:val="center"/>
          </w:tcPr>
          <w:p w14:paraId="58C1687C">
            <w:pPr>
              <w:jc w:val="left"/>
            </w:pPr>
            <w:r>
              <w:t>+0.5σ</w:t>
            </w:r>
          </w:p>
        </w:tc>
      </w:tr>
      <w:tr w14:paraId="1A22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2875DDDF">
            <w:pPr>
              <w:jc w:val="left"/>
            </w:pPr>
            <w:r>
              <w:t>通胀</w:t>
            </w:r>
          </w:p>
        </w:tc>
        <w:tc>
          <w:tcPr>
            <w:tcW w:w="1186" w:type="dxa"/>
            <w:vAlign w:val="center"/>
          </w:tcPr>
          <w:p w14:paraId="5CE83C84">
            <w:pPr>
              <w:jc w:val="left"/>
            </w:pPr>
            <w:r>
              <w:t>−0.2σ</w:t>
            </w:r>
          </w:p>
        </w:tc>
        <w:tc>
          <w:tcPr>
            <w:tcW w:w="1186" w:type="dxa"/>
            <w:vAlign w:val="center"/>
          </w:tcPr>
          <w:p w14:paraId="2B848DB7">
            <w:pPr>
              <w:jc w:val="left"/>
            </w:pPr>
            <w:r>
              <w:t>隐含通胀 = +0.1σ</w:t>
            </w:r>
          </w:p>
        </w:tc>
        <w:tc>
          <w:tcPr>
            <w:tcW w:w="1186" w:type="dxa"/>
            <w:vAlign w:val="center"/>
          </w:tcPr>
          <w:p w14:paraId="0C3D246A">
            <w:pPr>
              <w:jc w:val="left"/>
            </w:pPr>
            <w:r>
              <w:t>−0.3σ</w:t>
            </w:r>
          </w:p>
        </w:tc>
        <w:tc>
          <w:tcPr>
            <w:tcW w:w="1186" w:type="dxa"/>
            <w:vAlign w:val="center"/>
          </w:tcPr>
          <w:p w14:paraId="1E89DD44">
            <w:pPr>
              <w:jc w:val="left"/>
            </w:pPr>
            <w:r>
              <w:t>+0.9σ</w:t>
            </w:r>
          </w:p>
        </w:tc>
        <w:tc>
          <w:tcPr>
            <w:tcW w:w="1186" w:type="dxa"/>
            <w:vAlign w:val="center"/>
          </w:tcPr>
          <w:p w14:paraId="60507C55">
            <w:pPr>
              <w:jc w:val="left"/>
            </w:pPr>
            <w:r>
              <w:t>TIPS 隐含 = +0.7σ</w:t>
            </w:r>
          </w:p>
        </w:tc>
        <w:tc>
          <w:tcPr>
            <w:tcW w:w="1186" w:type="dxa"/>
            <w:vAlign w:val="center"/>
          </w:tcPr>
          <w:p w14:paraId="555C984D">
            <w:pPr>
              <w:jc w:val="left"/>
            </w:pPr>
            <w:r>
              <w:t>+0.2σ</w:t>
            </w:r>
          </w:p>
        </w:tc>
      </w:tr>
      <w:tr w14:paraId="4415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6" w:type="dxa"/>
            <w:vAlign w:val="center"/>
          </w:tcPr>
          <w:p w14:paraId="086FA6E3">
            <w:pPr>
              <w:jc w:val="left"/>
            </w:pPr>
            <w:r>
              <w:t>政策</w:t>
            </w:r>
          </w:p>
        </w:tc>
        <w:tc>
          <w:tcPr>
            <w:tcW w:w="1186" w:type="dxa"/>
            <w:vAlign w:val="center"/>
          </w:tcPr>
          <w:p w14:paraId="6C37E1C1">
            <w:pPr>
              <w:jc w:val="left"/>
            </w:pPr>
            <w:r>
              <w:t>偏松</w:t>
            </w:r>
          </w:p>
        </w:tc>
        <w:tc>
          <w:tcPr>
            <w:tcW w:w="1186" w:type="dxa"/>
            <w:vAlign w:val="center"/>
          </w:tcPr>
          <w:p w14:paraId="03ACDDD5">
            <w:pPr>
              <w:jc w:val="left"/>
            </w:pPr>
            <w:r>
              <w:t>IRS 隐含 2 次降息</w:t>
            </w:r>
          </w:p>
        </w:tc>
        <w:tc>
          <w:tcPr>
            <w:tcW w:w="1186" w:type="dxa"/>
            <w:vAlign w:val="center"/>
          </w:tcPr>
          <w:p w14:paraId="52A56225">
            <w:pPr>
              <w:jc w:val="left"/>
            </w:pPr>
            <w:r>
              <w:t>政策力度 &gt; 定价</w:t>
            </w:r>
          </w:p>
        </w:tc>
        <w:tc>
          <w:tcPr>
            <w:tcW w:w="1186" w:type="dxa"/>
            <w:vAlign w:val="center"/>
          </w:tcPr>
          <w:p w14:paraId="073B9FC6">
            <w:pPr>
              <w:jc w:val="left"/>
            </w:pPr>
            <w:r>
              <w:t>偏紧</w:t>
            </w:r>
          </w:p>
        </w:tc>
        <w:tc>
          <w:tcPr>
            <w:tcW w:w="1186" w:type="dxa"/>
            <w:vAlign w:val="center"/>
          </w:tcPr>
          <w:p w14:paraId="1C5EF3DB">
            <w:pPr>
              <w:jc w:val="left"/>
            </w:pPr>
            <w:r>
              <w:t>Fed Funds 隐含 0 次降息</w:t>
            </w:r>
          </w:p>
        </w:tc>
        <w:tc>
          <w:tcPr>
            <w:tcW w:w="1186" w:type="dxa"/>
            <w:vAlign w:val="center"/>
          </w:tcPr>
          <w:p w14:paraId="003117EB">
            <w:pPr>
              <w:jc w:val="left"/>
            </w:pPr>
            <w:r>
              <w:t>一致</w:t>
            </w:r>
          </w:p>
        </w:tc>
      </w:tr>
      <w:tr w14:paraId="3E5A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1CE67B40">
            <w:pPr>
              <w:jc w:val="left"/>
            </w:pPr>
            <w:r>
              <w:t>汇率压力</w:t>
            </w:r>
          </w:p>
        </w:tc>
        <w:tc>
          <w:tcPr>
            <w:tcW w:w="1186" w:type="dxa"/>
            <w:vAlign w:val="center"/>
          </w:tcPr>
          <w:p w14:paraId="326D819D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27CBE299">
            <w:pPr>
              <w:jc w:val="left"/>
            </w:pPr>
            <w:r>
              <w:t>CNH 远期定价 1.2% 贬值</w:t>
            </w:r>
          </w:p>
        </w:tc>
        <w:tc>
          <w:tcPr>
            <w:tcW w:w="1186" w:type="dxa"/>
            <w:vAlign w:val="center"/>
          </w:tcPr>
          <w:p w14:paraId="40E76674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18C6350F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59A1C2A5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1FC31F3A">
            <w:pPr>
              <w:jc w:val="left"/>
            </w:pPr>
            <w:r>
              <w:t>—</w:t>
            </w:r>
          </w:p>
        </w:tc>
      </w:tr>
      <w:tr w14:paraId="383B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42425C6A">
            <w:pPr>
              <w:jc w:val="left"/>
            </w:pPr>
            <w:r>
              <w:t>风险偏好</w:t>
            </w:r>
          </w:p>
        </w:tc>
        <w:tc>
          <w:tcPr>
            <w:tcW w:w="1186" w:type="dxa"/>
            <w:vAlign w:val="center"/>
          </w:tcPr>
          <w:p w14:paraId="55F87ED6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0DDEAA50">
            <w:pPr>
              <w:jc w:val="left"/>
            </w:pPr>
            <w:r>
              <w:t>AA 利差 70% 分位（偏宽）</w:t>
            </w:r>
          </w:p>
        </w:tc>
        <w:tc>
          <w:tcPr>
            <w:tcW w:w="1186" w:type="dxa"/>
            <w:vAlign w:val="center"/>
          </w:tcPr>
          <w:p w14:paraId="02A91F4F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69BB946E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2E9B43B8">
            <w:pPr>
              <w:jc w:val="left"/>
            </w:pPr>
            <w:r>
              <w:t>HY 利差 40% 分位（中性）</w:t>
            </w:r>
          </w:p>
        </w:tc>
        <w:tc>
          <w:tcPr>
            <w:tcW w:w="1186" w:type="dxa"/>
            <w:vAlign w:val="center"/>
          </w:tcPr>
          <w:p w14:paraId="72CB55A4">
            <w:pPr>
              <w:jc w:val="left"/>
            </w:pPr>
            <w:r>
              <w:t>—</w:t>
            </w:r>
          </w:p>
        </w:tc>
      </w:tr>
    </w:tbl>
    <w:p w14:paraId="755566AD">
      <w:pPr>
        <w:pStyle w:val="4"/>
      </w:pPr>
      <w:r>
        <w:t>（上表为示意格式，每周由量化模型组填充实际数值）</w:t>
      </w:r>
    </w:p>
    <w:p w14:paraId="195E3645">
      <w:pPr>
        <w:pBdr>
          <w:bottom w:val="single" w:color="auto" w:sz="8" w:space="0"/>
        </w:pBdr>
      </w:pPr>
    </w:p>
    <w:p w14:paraId="3FAF4E34">
      <w:pPr>
        <w:pStyle w:val="9"/>
      </w:pPr>
      <w:r>
        <w:t>3.5 市场定价提取与原有功能的衔接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5E9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3FEF1F">
            <w:pPr>
              <w:jc w:val="left"/>
            </w:pPr>
            <w:r>
              <w:t>原功能</w:t>
            </w:r>
          </w:p>
        </w:tc>
        <w:tc>
          <w:tcPr>
            <w:tcW w:w="2768" w:type="dxa"/>
            <w:vAlign w:val="center"/>
          </w:tcPr>
          <w:p w14:paraId="3CF07ED5">
            <w:pPr>
              <w:jc w:val="left"/>
            </w:pPr>
            <w:r>
              <w:t>归入本层位置</w:t>
            </w:r>
          </w:p>
        </w:tc>
        <w:tc>
          <w:tcPr>
            <w:tcW w:w="2768" w:type="dxa"/>
            <w:vAlign w:val="center"/>
          </w:tcPr>
          <w:p w14:paraId="4484E6E2">
            <w:pPr>
              <w:jc w:val="left"/>
            </w:pPr>
            <w:r>
              <w:t>升级说明</w:t>
            </w:r>
          </w:p>
        </w:tc>
      </w:tr>
      <w:tr w14:paraId="0162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6BC9B75">
            <w:pPr>
              <w:jc w:val="left"/>
            </w:pPr>
            <w:r>
              <w:t>期货升贴水扫描</w:t>
            </w:r>
          </w:p>
        </w:tc>
        <w:tc>
          <w:tcPr>
            <w:tcW w:w="2768" w:type="dxa"/>
            <w:vAlign w:val="center"/>
          </w:tcPr>
          <w:p w14:paraId="18F562EC">
            <w:pPr>
              <w:jc w:val="left"/>
            </w:pPr>
            <w:r>
              <w:t>→ C 类（汇率远期点）+ D 类（商品期货价差）</w:t>
            </w:r>
          </w:p>
        </w:tc>
        <w:tc>
          <w:tcPr>
            <w:tcW w:w="2768" w:type="dxa"/>
            <w:vAlign w:val="center"/>
          </w:tcPr>
          <w:p w14:paraId="7D507295">
            <w:pPr>
              <w:jc w:val="left"/>
            </w:pPr>
            <w:r>
              <w:t>从单一方向扫描升级为结构化远期定价提取</w:t>
            </w:r>
          </w:p>
        </w:tc>
      </w:tr>
      <w:tr w14:paraId="6D07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CB51C70">
            <w:pPr>
              <w:jc w:val="left"/>
            </w:pPr>
            <w:r>
              <w:t>期权 P/C 比率</w:t>
            </w:r>
          </w:p>
        </w:tc>
        <w:tc>
          <w:tcPr>
            <w:tcW w:w="2768" w:type="dxa"/>
            <w:vAlign w:val="center"/>
          </w:tcPr>
          <w:p w14:paraId="0F9F1CB0">
            <w:pPr>
              <w:jc w:val="left"/>
            </w:pPr>
            <w:r>
              <w:t>→ C 类（期权波动率微笑）</w:t>
            </w:r>
          </w:p>
        </w:tc>
        <w:tc>
          <w:tcPr>
            <w:tcW w:w="2768" w:type="dxa"/>
            <w:vAlign w:val="center"/>
          </w:tcPr>
          <w:p w14:paraId="7CB25935">
            <w:pPr>
              <w:jc w:val="left"/>
            </w:pPr>
            <w:r>
              <w:t>P/C 比率纳入波动率微笑分析框架，信息更丰富</w:t>
            </w:r>
          </w:p>
        </w:tc>
      </w:tr>
      <w:tr w14:paraId="3496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25021E3">
            <w:pPr>
              <w:jc w:val="left"/>
            </w:pPr>
            <w:r>
              <w:t>基差率</w:t>
            </w:r>
          </w:p>
        </w:tc>
        <w:tc>
          <w:tcPr>
            <w:tcW w:w="2768" w:type="dxa"/>
            <w:vAlign w:val="center"/>
          </w:tcPr>
          <w:p w14:paraId="3752578B">
            <w:pPr>
              <w:jc w:val="left"/>
            </w:pPr>
            <w:r>
              <w:t>→ D 类（商品期货价差）</w:t>
            </w:r>
          </w:p>
        </w:tc>
        <w:tc>
          <w:tcPr>
            <w:tcW w:w="2768" w:type="dxa"/>
            <w:vAlign w:val="center"/>
          </w:tcPr>
          <w:p w14:paraId="7E4D3690">
            <w:pPr>
              <w:jc w:val="left"/>
            </w:pPr>
            <w:r>
              <w:t>基差率作为 Contango/Back 结构的量化表达</w:t>
            </w:r>
          </w:p>
        </w:tc>
      </w:tr>
      <w:tr w14:paraId="17F9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A5CD000">
            <w:pPr>
              <w:jc w:val="left"/>
            </w:pPr>
            <w:r>
              <w:t>国债期货持仓量</w:t>
            </w:r>
          </w:p>
        </w:tc>
        <w:tc>
          <w:tcPr>
            <w:tcW w:w="2768" w:type="dxa"/>
            <w:vAlign w:val="center"/>
          </w:tcPr>
          <w:p w14:paraId="47AD76F8">
            <w:pPr>
              <w:jc w:val="left"/>
            </w:pPr>
            <w:r>
              <w:t>→ A 类（利率市场反推）</w:t>
            </w:r>
          </w:p>
        </w:tc>
        <w:tc>
          <w:tcPr>
            <w:tcW w:w="2768" w:type="dxa"/>
            <w:vAlign w:val="center"/>
          </w:tcPr>
          <w:p w14:paraId="16D619E2">
            <w:pPr>
              <w:jc w:val="left"/>
            </w:pPr>
            <w:r>
              <w:t>持仓量变化作为利率预期方向的辅助确认指标</w:t>
            </w:r>
          </w:p>
        </w:tc>
      </w:tr>
      <w:tr w14:paraId="6E46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1464C20">
            <w:pPr>
              <w:jc w:val="left"/>
            </w:pPr>
            <w:r>
              <w:t>沪深 300 P/E P/B 分位数</w:t>
            </w:r>
          </w:p>
        </w:tc>
        <w:tc>
          <w:tcPr>
            <w:tcW w:w="2768" w:type="dxa"/>
            <w:vAlign w:val="center"/>
          </w:tcPr>
          <w:p w14:paraId="3E2335D2">
            <w:pPr>
              <w:jc w:val="left"/>
            </w:pPr>
            <w:r>
              <w:t>→ B 类（估值反推盈利预期）</w:t>
            </w:r>
          </w:p>
        </w:tc>
        <w:tc>
          <w:tcPr>
            <w:tcW w:w="2768" w:type="dxa"/>
            <w:vAlign w:val="center"/>
          </w:tcPr>
          <w:p w14:paraId="70DFC5D5">
            <w:pPr>
              <w:jc w:val="left"/>
            </w:pPr>
            <w:r>
              <w:t>从 P/E P/B 单一指标扩展为前瞻 PE + ERP + 相对估值 + A-H 溢价四维体系</w:t>
            </w:r>
          </w:p>
        </w:tc>
      </w:tr>
    </w:tbl>
    <w:p w14:paraId="55286645">
      <w:pPr>
        <w:pStyle w:val="4"/>
      </w:pPr>
      <w:r>
        <w:t>本层输出连续的 z-score 评分，可直接与 Layer 1 的 CAI/FCI 连续分数做差，生成 Layer 4 的预期差信号。</w:t>
      </w:r>
    </w:p>
    <w:p w14:paraId="1DC6B88E">
      <w:pPr>
        <w:pStyle w:val="4"/>
      </w:pPr>
      <w:r>
        <w:rPr>
          <w:b/>
        </w:rPr>
        <w:t>数据流向：</w:t>
      </w:r>
      <w:r>
        <w:t xml:space="preserve"> Layer 2.5（全球宏观背景）→ Layer 3（市场定价画像）→ Layer 4（预期差信号引擎）→ </w:t>
      </w:r>
      <w:r>
        <w:rPr>
          <w:b/>
        </w:rPr>
        <w:t>Layer 4.5（信号可靠性修正）</w:t>
      </w:r>
    </w:p>
    <w:p w14:paraId="2CA33186">
      <w:pPr>
        <w:pBdr>
          <w:bottom w:val="single" w:color="auto" w:sz="8" w:space="0"/>
        </w:pBdr>
      </w:pPr>
    </w:p>
    <w:p w14:paraId="6013F602">
      <w:pPr>
        <w:pStyle w:val="7"/>
      </w:pPr>
      <w:r>
        <w:t>Layer 4：预期差信号引擎</w:t>
      </w:r>
    </w:p>
    <w:p w14:paraId="45894638">
      <w:pPr>
        <w:pStyle w:val="9"/>
      </w:pPr>
      <w:r>
        <w:t>4.1 核心思想：预期差驱动</w:t>
      </w:r>
    </w:p>
    <w:p w14:paraId="583ED278">
      <w:pPr>
        <w:pStyle w:val="4"/>
      </w:pPr>
      <w:r>
        <w:t>Surprise Index 体系是本层的起点。传统宏观框架的信号逻辑是"数据好→做多，数据差→做空"，但市场价格已经反映了市场对数据的共识预期。仅凭数据方向交易，本质上是在交易共识，而非交易 Alpha。</w:t>
      </w:r>
    </w:p>
    <w:p w14:paraId="493F01EA">
      <w:pPr>
        <w:pStyle w:val="4"/>
      </w:pPr>
      <w:r>
        <w:rPr>
          <w:b/>
        </w:rPr>
        <w:t>Alpha 的真正来源是预期差——实际发生与市场定价之间的偏差。</w:t>
      </w:r>
    </w:p>
    <w:p w14:paraId="65ED9558">
      <w:pPr>
        <w:pStyle w:val="4"/>
      </w:pPr>
      <w:r>
        <w:t>本框架将预期差从"数据 vs 共识"扩展为三层结构：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042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3D49DF9">
            <w:pPr>
              <w:jc w:val="left"/>
            </w:pPr>
            <w:r>
              <w:t>层次</w:t>
            </w:r>
          </w:p>
        </w:tc>
        <w:tc>
          <w:tcPr>
            <w:tcW w:w="2076" w:type="dxa"/>
            <w:vAlign w:val="center"/>
          </w:tcPr>
          <w:p w14:paraId="2CFC4D85">
            <w:pPr>
              <w:jc w:val="left"/>
            </w:pPr>
            <w:r>
              <w:t>对比维度</w:t>
            </w:r>
          </w:p>
        </w:tc>
        <w:tc>
          <w:tcPr>
            <w:tcW w:w="2076" w:type="dxa"/>
            <w:vAlign w:val="center"/>
          </w:tcPr>
          <w:p w14:paraId="268E026A">
            <w:pPr>
              <w:jc w:val="left"/>
            </w:pPr>
            <w:r>
              <w:t>信号含义</w:t>
            </w:r>
          </w:p>
        </w:tc>
        <w:tc>
          <w:tcPr>
            <w:tcW w:w="2076" w:type="dxa"/>
            <w:vAlign w:val="center"/>
          </w:tcPr>
          <w:p w14:paraId="77F27BE3">
            <w:pPr>
              <w:jc w:val="left"/>
            </w:pPr>
            <w:r>
              <w:t>交易逻辑</w:t>
            </w:r>
          </w:p>
        </w:tc>
      </w:tr>
      <w:tr w14:paraId="56ED2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D448322">
            <w:pPr>
              <w:jc w:val="left"/>
            </w:pPr>
            <w:r>
              <w:rPr>
                <w:b/>
              </w:rPr>
              <w:t>第一层：数据意外</w:t>
            </w:r>
          </w:p>
        </w:tc>
        <w:tc>
          <w:tcPr>
            <w:tcW w:w="2076" w:type="dxa"/>
            <w:vAlign w:val="center"/>
          </w:tcPr>
          <w:p w14:paraId="20C7CA0A">
            <w:pPr>
              <w:jc w:val="left"/>
            </w:pPr>
            <w:r>
              <w:t>数据实际值 vs 市场共识预期</w:t>
            </w:r>
          </w:p>
        </w:tc>
        <w:tc>
          <w:tcPr>
            <w:tcW w:w="2076" w:type="dxa"/>
            <w:vAlign w:val="center"/>
          </w:tcPr>
          <w:p w14:paraId="0AF507A4">
            <w:pPr>
              <w:jc w:val="left"/>
            </w:pPr>
            <w:r>
              <w:t>短期方向冲击</w:t>
            </w:r>
          </w:p>
        </w:tc>
        <w:tc>
          <w:tcPr>
            <w:tcW w:w="2076" w:type="dxa"/>
            <w:vAlign w:val="center"/>
          </w:tcPr>
          <w:p w14:paraId="4419D4EB">
            <w:pPr>
              <w:jc w:val="left"/>
            </w:pPr>
            <w:r>
              <w:t>事件驱动交易，衰减快</w:t>
            </w:r>
          </w:p>
        </w:tc>
      </w:tr>
      <w:tr w14:paraId="4CBD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FFDA06A">
            <w:pPr>
              <w:jc w:val="left"/>
            </w:pPr>
            <w:r>
              <w:rPr>
                <w:b/>
              </w:rPr>
              <w:t>第二层：基本面 vs 市场定价</w:t>
            </w:r>
          </w:p>
        </w:tc>
        <w:tc>
          <w:tcPr>
            <w:tcW w:w="2076" w:type="dxa"/>
            <w:vAlign w:val="center"/>
          </w:tcPr>
          <w:p w14:paraId="3685D766">
            <w:pPr>
              <w:jc w:val="left"/>
            </w:pPr>
            <w:r>
              <w:t>Layer 1 实际状态 vs Layer 3 市场定价</w:t>
            </w:r>
          </w:p>
        </w:tc>
        <w:tc>
          <w:tcPr>
            <w:tcW w:w="2076" w:type="dxa"/>
            <w:vAlign w:val="center"/>
          </w:tcPr>
          <w:p w14:paraId="01DE6AD1">
            <w:pPr>
              <w:jc w:val="left"/>
            </w:pPr>
            <w:r>
              <w:t>中期定价修正</w:t>
            </w:r>
          </w:p>
        </w:tc>
        <w:tc>
          <w:tcPr>
            <w:tcW w:w="2076" w:type="dxa"/>
            <w:vAlign w:val="center"/>
          </w:tcPr>
          <w:p w14:paraId="07103D3C">
            <w:pPr>
              <w:jc w:val="left"/>
            </w:pPr>
            <w:r>
              <w:t>核心 Alpha 来源，持续性强</w:t>
            </w:r>
          </w:p>
        </w:tc>
      </w:tr>
      <w:tr w14:paraId="1C8A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7B00AED">
            <w:pPr>
              <w:jc w:val="left"/>
            </w:pPr>
            <w:r>
              <w:rPr>
                <w:b/>
              </w:rPr>
              <w:t>第三层：跨国预期差</w:t>
            </w:r>
          </w:p>
        </w:tc>
        <w:tc>
          <w:tcPr>
            <w:tcW w:w="2076" w:type="dxa"/>
            <w:vAlign w:val="center"/>
          </w:tcPr>
          <w:p w14:paraId="398774D7">
            <w:pPr>
              <w:jc w:val="left"/>
            </w:pPr>
            <w:r>
              <w:t>中国预期差 vs 美国预期差</w:t>
            </w:r>
          </w:p>
        </w:tc>
        <w:tc>
          <w:tcPr>
            <w:tcW w:w="2076" w:type="dxa"/>
            <w:vAlign w:val="center"/>
          </w:tcPr>
          <w:p w14:paraId="7F473E87">
            <w:pPr>
              <w:jc w:val="left"/>
            </w:pPr>
            <w:r>
              <w:t>相对价值/资本流向</w:t>
            </w:r>
          </w:p>
        </w:tc>
        <w:tc>
          <w:tcPr>
            <w:tcW w:w="2076" w:type="dxa"/>
            <w:vAlign w:val="center"/>
          </w:tcPr>
          <w:p w14:paraId="347708BF">
            <w:pPr>
              <w:jc w:val="left"/>
            </w:pPr>
            <w:r>
              <w:t>跨市场套利</w:t>
            </w:r>
          </w:p>
        </w:tc>
      </w:tr>
    </w:tbl>
    <w:p w14:paraId="50C390E2">
      <w:pPr>
        <w:pStyle w:val="4"/>
      </w:pPr>
      <w:r>
        <w:t>本层保留有效性评级的分数框架（4.4 节），将其嵌入完整的预期差信号体系，从"评级"升级为"信号引擎"。</w:t>
      </w:r>
    </w:p>
    <w:p w14:paraId="3530BCFC">
      <w:pPr>
        <w:pBdr>
          <w:bottom w:val="single" w:color="auto" w:sz="8" w:space="0"/>
        </w:pBdr>
      </w:pPr>
    </w:p>
    <w:p w14:paraId="6B84D968">
      <w:pPr>
        <w:pStyle w:val="9"/>
      </w:pPr>
      <w:r>
        <w:t>4.2 三类预期差信号</w:t>
      </w:r>
    </w:p>
    <w:p w14:paraId="65858712">
      <w:pPr>
        <w:pStyle w:val="8"/>
      </w:pPr>
      <w:r>
        <w:t>信号类型 A：高频意外指数</w:t>
      </w:r>
    </w:p>
    <w:p w14:paraId="593EB3AA">
      <w:pPr>
        <w:pStyle w:val="4"/>
      </w:pPr>
      <w:r>
        <w:t>跟踪每次数据发布的实际值与市场共识的差，捕捉短期方向冲击。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684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2BE3625">
            <w:pPr>
              <w:jc w:val="left"/>
            </w:pPr>
            <w:r>
              <w:t>指数</w:t>
            </w:r>
          </w:p>
        </w:tc>
        <w:tc>
          <w:tcPr>
            <w:tcW w:w="1661" w:type="dxa"/>
            <w:vAlign w:val="center"/>
          </w:tcPr>
          <w:p w14:paraId="76A477FF">
            <w:pPr>
              <w:jc w:val="left"/>
            </w:pPr>
            <w:r>
              <w:t>覆盖数据</w:t>
            </w:r>
          </w:p>
        </w:tc>
        <w:tc>
          <w:tcPr>
            <w:tcW w:w="1661" w:type="dxa"/>
            <w:vAlign w:val="center"/>
          </w:tcPr>
          <w:p w14:paraId="6FEEB608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16526C87">
            <w:pPr>
              <w:jc w:val="left"/>
            </w:pPr>
            <w:r>
              <w:t>发布频率</w:t>
            </w:r>
          </w:p>
        </w:tc>
        <w:tc>
          <w:tcPr>
            <w:tcW w:w="1661" w:type="dxa"/>
            <w:vAlign w:val="center"/>
          </w:tcPr>
          <w:p w14:paraId="7318809C">
            <w:pPr>
              <w:jc w:val="left"/>
            </w:pPr>
            <w:r>
              <w:t>信号含义</w:t>
            </w:r>
          </w:p>
        </w:tc>
      </w:tr>
      <w:tr w14:paraId="0807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37CD3E5">
            <w:pPr>
              <w:jc w:val="left"/>
            </w:pPr>
            <w:r>
              <w:rPr>
                <w:b/>
              </w:rPr>
              <w:t>中国 CESI（China Economic Surprise Index）</w:t>
            </w:r>
          </w:p>
        </w:tc>
        <w:tc>
          <w:tcPr>
            <w:tcW w:w="1661" w:type="dxa"/>
            <w:vAlign w:val="center"/>
          </w:tcPr>
          <w:p w14:paraId="62DBEB2D">
            <w:pPr>
              <w:jc w:val="left"/>
            </w:pPr>
            <w:r>
              <w:t>PMI、CPI、PPI、社融、出口、工业增加值、零售等核心数据</w:t>
            </w:r>
          </w:p>
        </w:tc>
        <w:tc>
          <w:tcPr>
            <w:tcW w:w="1661" w:type="dxa"/>
            <w:vAlign w:val="center"/>
          </w:tcPr>
          <w:p w14:paraId="61A4B634">
            <w:pPr>
              <w:jc w:val="left"/>
            </w:pPr>
            <w:r>
              <w:t>Wind 一致预期 + NBS/PBOC/Customs 实际值 / 自算</w:t>
            </w:r>
          </w:p>
        </w:tc>
        <w:tc>
          <w:tcPr>
            <w:tcW w:w="1661" w:type="dxa"/>
            <w:vAlign w:val="center"/>
          </w:tcPr>
          <w:p w14:paraId="10A2C502">
            <w:pPr>
              <w:jc w:val="left"/>
            </w:pPr>
            <w:r>
              <w:t>日度更新（每次数据发布后）</w:t>
            </w:r>
          </w:p>
        </w:tc>
        <w:tc>
          <w:tcPr>
            <w:tcW w:w="1661" w:type="dxa"/>
            <w:vAlign w:val="center"/>
          </w:tcPr>
          <w:p w14:paraId="537D4999">
            <w:pPr>
              <w:jc w:val="left"/>
            </w:pPr>
            <w:r>
              <w:t>正值=中国数据持续超预期，负值=持续不及预期</w:t>
            </w:r>
          </w:p>
        </w:tc>
      </w:tr>
      <w:tr w14:paraId="7BD3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7D1C59A">
            <w:pPr>
              <w:jc w:val="left"/>
            </w:pPr>
            <w:r>
              <w:rPr>
                <w:b/>
              </w:rPr>
              <w:t>美国 Citi Economic Surprise Index</w:t>
            </w:r>
          </w:p>
        </w:tc>
        <w:tc>
          <w:tcPr>
            <w:tcW w:w="1661" w:type="dxa"/>
            <w:vAlign w:val="center"/>
          </w:tcPr>
          <w:p w14:paraId="783C2C59">
            <w:pPr>
              <w:jc w:val="left"/>
            </w:pPr>
            <w:r>
              <w:t>ISM PMI、非农、CPI、PCE、零售、GDP 等</w:t>
            </w:r>
          </w:p>
        </w:tc>
        <w:tc>
          <w:tcPr>
            <w:tcW w:w="1661" w:type="dxa"/>
            <w:vAlign w:val="center"/>
          </w:tcPr>
          <w:p w14:paraId="08229F54">
            <w:pPr>
              <w:jc w:val="left"/>
            </w:pPr>
            <w:r>
              <w:t>Citi / Bloomberg</w:t>
            </w:r>
          </w:p>
        </w:tc>
        <w:tc>
          <w:tcPr>
            <w:tcW w:w="1661" w:type="dxa"/>
            <w:vAlign w:val="center"/>
          </w:tcPr>
          <w:p w14:paraId="32B90AE7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38E7060E">
            <w:pPr>
              <w:jc w:val="left"/>
            </w:pPr>
            <w:r>
              <w:t>正值=美国数据持续超预期，负值=持续不及预期</w:t>
            </w:r>
          </w:p>
        </w:tc>
      </w:tr>
    </w:tbl>
    <w:p w14:paraId="3668D0AF">
      <w:pPr>
        <w:pStyle w:val="4"/>
      </w:pPr>
      <w:r>
        <w:rPr>
          <w:b/>
        </w:rPr>
        <w:t>信号使用规则：</w:t>
      </w:r>
    </w:p>
    <w:p w14:paraId="48839E4A">
      <w:pPr>
        <w:pStyle w:val="4"/>
        <w:numPr>
          <w:ilvl w:val="0"/>
          <w:numId w:val="28"/>
        </w:numPr>
      </w:pPr>
      <w:r>
        <w:t>CESI 从负转正（或从正转负）时标记为拐点信号</w:t>
      </w:r>
    </w:p>
    <w:p w14:paraId="089BC238">
      <w:pPr>
        <w:pStyle w:val="4"/>
        <w:numPr>
          <w:ilvl w:val="0"/>
          <w:numId w:val="28"/>
        </w:numPr>
      </w:pPr>
      <w:r>
        <w:t>CESI 极端值（&gt; +50 或 &lt; −50）时标记为强信号</w:t>
      </w:r>
    </w:p>
    <w:p w14:paraId="39E1CD75">
      <w:pPr>
        <w:pStyle w:val="4"/>
        <w:numPr>
          <w:ilvl w:val="0"/>
          <w:numId w:val="28"/>
        </w:numPr>
      </w:pPr>
      <w:r>
        <w:t>信号衰减快：CESI 信号有效期通常为 2-4 周</w:t>
      </w:r>
    </w:p>
    <w:p w14:paraId="4EC7978B">
      <w:pPr>
        <w:pBdr>
          <w:bottom w:val="single" w:color="auto" w:sz="8" w:space="0"/>
        </w:pBdr>
      </w:pPr>
    </w:p>
    <w:p w14:paraId="3C05A0E4">
      <w:pPr>
        <w:pStyle w:val="8"/>
      </w:pPr>
      <w:r>
        <w:t>信号类型 B：基本面 vs 市场定价（核心 Alpha 来源）</w:t>
      </w:r>
    </w:p>
    <w:p w14:paraId="7DAF9706">
      <w:pPr>
        <w:pStyle w:val="4"/>
      </w:pPr>
      <w:r>
        <w:t>Layer 1 的实际状态减去 Layer 3 的市场定价，生成 4 类预期差：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C04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A55C259">
            <w:pPr>
              <w:jc w:val="left"/>
            </w:pPr>
            <w:r>
              <w:t>预期差类型</w:t>
            </w:r>
          </w:p>
        </w:tc>
        <w:tc>
          <w:tcPr>
            <w:tcW w:w="2076" w:type="dxa"/>
            <w:vAlign w:val="center"/>
          </w:tcPr>
          <w:p w14:paraId="04195BA0">
            <w:pPr>
              <w:jc w:val="left"/>
            </w:pPr>
            <w:r>
              <w:t>计算公式</w:t>
            </w:r>
          </w:p>
        </w:tc>
        <w:tc>
          <w:tcPr>
            <w:tcW w:w="2076" w:type="dxa"/>
            <w:vAlign w:val="center"/>
          </w:tcPr>
          <w:p w14:paraId="4F70EA4E">
            <w:pPr>
              <w:jc w:val="left"/>
            </w:pPr>
            <w:r>
              <w:t>正信号含义</w:t>
            </w:r>
          </w:p>
        </w:tc>
        <w:tc>
          <w:tcPr>
            <w:tcW w:w="2076" w:type="dxa"/>
            <w:vAlign w:val="center"/>
          </w:tcPr>
          <w:p w14:paraId="57C88B18">
            <w:pPr>
              <w:jc w:val="left"/>
            </w:pPr>
            <w:r>
              <w:t>对应交易</w:t>
            </w:r>
          </w:p>
        </w:tc>
      </w:tr>
      <w:tr w14:paraId="19DE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4B61C0E">
            <w:pPr>
              <w:jc w:val="left"/>
            </w:pPr>
            <w:r>
              <w:rPr>
                <w:b/>
              </w:rPr>
              <w:t>增长预期差</w:t>
            </w:r>
          </w:p>
        </w:tc>
        <w:tc>
          <w:tcPr>
            <w:tcW w:w="2076" w:type="dxa"/>
            <w:vAlign w:val="center"/>
          </w:tcPr>
          <w:p w14:paraId="71922CE9">
            <w:pPr>
              <w:jc w:val="left"/>
            </w:pPr>
            <w:r>
              <w:t>中国 CAI − 利率隐含的增长预期（10Y-2Y 利差 z-score）</w:t>
            </w:r>
          </w:p>
        </w:tc>
        <w:tc>
          <w:tcPr>
            <w:tcW w:w="2076" w:type="dxa"/>
            <w:vAlign w:val="center"/>
          </w:tcPr>
          <w:p w14:paraId="7C78D105">
            <w:pPr>
              <w:jc w:val="left"/>
            </w:pPr>
            <w:r>
              <w:t>实际增长强于市场定价 → 市场低估增长</w:t>
            </w:r>
          </w:p>
        </w:tc>
        <w:tc>
          <w:tcPr>
            <w:tcW w:w="2076" w:type="dxa"/>
            <w:vAlign w:val="center"/>
          </w:tcPr>
          <w:p w14:paraId="2218C6B4">
            <w:pPr>
              <w:jc w:val="left"/>
            </w:pPr>
            <w:r>
              <w:t>做多增长资产（A 股、商品）</w:t>
            </w:r>
          </w:p>
        </w:tc>
      </w:tr>
      <w:tr w14:paraId="2197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2270F76">
            <w:pPr>
              <w:jc w:val="left"/>
            </w:pPr>
            <w:r>
              <w:rPr>
                <w:b/>
              </w:rPr>
              <w:t>通胀预期差</w:t>
            </w:r>
          </w:p>
        </w:tc>
        <w:tc>
          <w:tcPr>
            <w:tcW w:w="2076" w:type="dxa"/>
            <w:vAlign w:val="center"/>
          </w:tcPr>
          <w:p w14:paraId="1EDDF532">
            <w:pPr>
              <w:jc w:val="left"/>
            </w:pPr>
            <w:r>
              <w:t>中国通胀得分 − 隐含通胀预期（通胀挂钩债/Breakeven z-score）</w:t>
            </w:r>
          </w:p>
        </w:tc>
        <w:tc>
          <w:tcPr>
            <w:tcW w:w="2076" w:type="dxa"/>
            <w:vAlign w:val="center"/>
          </w:tcPr>
          <w:p w14:paraId="52BB04EE">
            <w:pPr>
              <w:jc w:val="left"/>
            </w:pPr>
            <w:r>
              <w:t>实际通胀强于定价 → 市场低估通胀</w:t>
            </w:r>
          </w:p>
        </w:tc>
        <w:tc>
          <w:tcPr>
            <w:tcW w:w="2076" w:type="dxa"/>
            <w:vAlign w:val="center"/>
          </w:tcPr>
          <w:p w14:paraId="0BFC8C08">
            <w:pPr>
              <w:jc w:val="left"/>
            </w:pPr>
            <w:r>
              <w:t>做多商品/做空债券</w:t>
            </w:r>
          </w:p>
        </w:tc>
      </w:tr>
      <w:tr w14:paraId="5528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0604045">
            <w:pPr>
              <w:jc w:val="left"/>
            </w:pPr>
            <w:r>
              <w:rPr>
                <w:b/>
              </w:rPr>
              <w:t>政策预期差</w:t>
            </w:r>
          </w:p>
        </w:tc>
        <w:tc>
          <w:tcPr>
            <w:tcW w:w="2076" w:type="dxa"/>
            <w:vAlign w:val="center"/>
          </w:tcPr>
          <w:p w14:paraId="408CE1DB">
            <w:pPr>
              <w:jc w:val="left"/>
            </w:pPr>
            <w:r>
              <w:t>实际政策力度（降息/降准/净投放综合 z-score）− IRS 隐含的政策预期</w:t>
            </w:r>
          </w:p>
        </w:tc>
        <w:tc>
          <w:tcPr>
            <w:tcW w:w="2076" w:type="dxa"/>
            <w:vAlign w:val="center"/>
          </w:tcPr>
          <w:p w14:paraId="132E5867">
            <w:pPr>
              <w:jc w:val="left"/>
            </w:pPr>
            <w:r>
              <w:t>政策超预期宽松 → 市场未充分定价</w:t>
            </w:r>
          </w:p>
        </w:tc>
        <w:tc>
          <w:tcPr>
            <w:tcW w:w="2076" w:type="dxa"/>
            <w:vAlign w:val="center"/>
          </w:tcPr>
          <w:p w14:paraId="40302E4E">
            <w:pPr>
              <w:jc w:val="left"/>
            </w:pPr>
            <w:r>
              <w:t>做多 A 股/信用债</w:t>
            </w:r>
          </w:p>
        </w:tc>
      </w:tr>
      <w:tr w14:paraId="288D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9235E72">
            <w:pPr>
              <w:jc w:val="left"/>
            </w:pPr>
            <w:r>
              <w:rPr>
                <w:b/>
              </w:rPr>
              <w:t>外部预期差</w:t>
            </w:r>
          </w:p>
        </w:tc>
        <w:tc>
          <w:tcPr>
            <w:tcW w:w="2076" w:type="dxa"/>
            <w:vAlign w:val="center"/>
          </w:tcPr>
          <w:p w14:paraId="46F8F802">
            <w:pPr>
              <w:jc w:val="left"/>
            </w:pPr>
            <w:r>
              <w:t>实际外部压力（FCI 美国分项 + USD/CNH 方向得分）− 市场定价的压力（CNH 远期点 + 信用利差 z-score）</w:t>
            </w:r>
          </w:p>
        </w:tc>
        <w:tc>
          <w:tcPr>
            <w:tcW w:w="2076" w:type="dxa"/>
            <w:vAlign w:val="center"/>
          </w:tcPr>
          <w:p w14:paraId="6D07E1F6">
            <w:pPr>
              <w:jc w:val="left"/>
            </w:pPr>
            <w:r>
              <w:t>压力小于担忧 → 市场过度恐慌</w:t>
            </w:r>
          </w:p>
        </w:tc>
        <w:tc>
          <w:tcPr>
            <w:tcW w:w="2076" w:type="dxa"/>
            <w:vAlign w:val="center"/>
          </w:tcPr>
          <w:p w14:paraId="2956F3E3">
            <w:pPr>
              <w:jc w:val="left"/>
            </w:pPr>
            <w:r>
              <w:t>做多港股/外资重仓股</w:t>
            </w:r>
          </w:p>
        </w:tc>
      </w:tr>
    </w:tbl>
    <w:p w14:paraId="37312FBE">
      <w:pPr>
        <w:pStyle w:val="4"/>
      </w:pPr>
      <w:r>
        <w:rPr>
          <w:b/>
        </w:rPr>
        <w:t>信号生成规则：</w:t>
      </w:r>
    </w:p>
    <w:p w14:paraId="70B141F2">
      <w:pPr>
        <w:pStyle w:val="4"/>
        <w:numPr>
          <w:ilvl w:val="0"/>
          <w:numId w:val="29"/>
        </w:numPr>
      </w:pPr>
      <w:r>
        <w:t>每类预期差 = Layer 1 实际得分 − Layer 3 定价得分（均为 z-score）</w:t>
      </w:r>
    </w:p>
    <w:p w14:paraId="032517F5">
      <w:pPr>
        <w:pStyle w:val="4"/>
        <w:numPr>
          <w:ilvl w:val="0"/>
          <w:numId w:val="29"/>
        </w:numPr>
      </w:pPr>
      <w:r>
        <w:t>预期差 &gt; 0 = 正向预期差（实际好于定价），&lt; 0 = 负向预期差</w:t>
      </w:r>
    </w:p>
    <w:p w14:paraId="47407347">
      <w:pPr>
        <w:pStyle w:val="4"/>
        <w:numPr>
          <w:ilvl w:val="0"/>
          <w:numId w:val="29"/>
        </w:numPr>
      </w:pPr>
      <w:r>
        <w:t>|预期差| &gt; 1.0σ 为有效信号，&gt; 1.5σ 为强信号</w:t>
      </w:r>
    </w:p>
    <w:p w14:paraId="755924CF">
      <w:pPr>
        <w:pBdr>
          <w:bottom w:val="single" w:color="auto" w:sz="8" w:space="0"/>
        </w:pBdr>
      </w:pPr>
    </w:p>
    <w:p w14:paraId="739B96B6">
      <w:pPr>
        <w:pStyle w:val="8"/>
      </w:pPr>
      <w:r>
        <w:t>信号类型 C：跨国预期差</w:t>
      </w:r>
    </w:p>
    <w:p w14:paraId="4E5EC07A">
      <w:pPr>
        <w:pStyle w:val="4"/>
      </w:pPr>
      <w:r>
        <w:t>6 个跨国预期差信号，捕捉中美周期错位带来的跨市场机会：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71A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6C3FD94">
            <w:pPr>
              <w:jc w:val="left"/>
            </w:pPr>
            <w:r>
              <w:t>跨国预期差信号</w:t>
            </w:r>
          </w:p>
        </w:tc>
        <w:tc>
          <w:tcPr>
            <w:tcW w:w="2768" w:type="dxa"/>
            <w:vAlign w:val="center"/>
          </w:tcPr>
          <w:p w14:paraId="7176E869">
            <w:pPr>
              <w:jc w:val="left"/>
            </w:pPr>
            <w:r>
              <w:t>构建逻辑</w:t>
            </w:r>
          </w:p>
        </w:tc>
        <w:tc>
          <w:tcPr>
            <w:tcW w:w="2768" w:type="dxa"/>
            <w:vAlign w:val="center"/>
          </w:tcPr>
          <w:p w14:paraId="663B2639">
            <w:pPr>
              <w:jc w:val="left"/>
            </w:pPr>
            <w:r>
              <w:t>对应押注</w:t>
            </w:r>
          </w:p>
        </w:tc>
      </w:tr>
      <w:tr w14:paraId="277E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B8CE252">
            <w:pPr>
              <w:jc w:val="left"/>
            </w:pPr>
            <w:r>
              <w:rPr>
                <w:b/>
              </w:rPr>
              <w:t>中美增长预期差</w:t>
            </w:r>
          </w:p>
        </w:tc>
        <w:tc>
          <w:tcPr>
            <w:tcW w:w="2768" w:type="dxa"/>
            <w:vAlign w:val="center"/>
          </w:tcPr>
          <w:p w14:paraId="5AEC8FA5">
            <w:pPr>
              <w:jc w:val="left"/>
            </w:pPr>
            <w:r>
              <w:t>(中国 CAI − 中国市场定价增长) − (美国 CAI − 美国市场定价增长)</w:t>
            </w:r>
          </w:p>
        </w:tc>
        <w:tc>
          <w:tcPr>
            <w:tcW w:w="2768" w:type="dxa"/>
            <w:vAlign w:val="center"/>
          </w:tcPr>
          <w:p w14:paraId="7B6DE49A">
            <w:pPr>
              <w:jc w:val="left"/>
            </w:pPr>
            <w:r>
              <w:t>A 股 vs 美股（相对价值）、中债 vs 美债</w:t>
            </w:r>
          </w:p>
        </w:tc>
      </w:tr>
      <w:tr w14:paraId="7C07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6036FA7">
            <w:pPr>
              <w:jc w:val="left"/>
            </w:pPr>
            <w:r>
              <w:rPr>
                <w:b/>
              </w:rPr>
              <w:t>中美通胀预期差</w:t>
            </w:r>
          </w:p>
        </w:tc>
        <w:tc>
          <w:tcPr>
            <w:tcW w:w="2768" w:type="dxa"/>
            <w:vAlign w:val="center"/>
          </w:tcPr>
          <w:p w14:paraId="563E0F50">
            <w:pPr>
              <w:jc w:val="left"/>
            </w:pPr>
            <w:r>
              <w:t>(中国通胀得分 − 中国隐含通胀) − (美国通胀得分 − 美国隐含通胀)</w:t>
            </w:r>
          </w:p>
        </w:tc>
        <w:tc>
          <w:tcPr>
            <w:tcW w:w="2768" w:type="dxa"/>
            <w:vAlign w:val="center"/>
          </w:tcPr>
          <w:p w14:paraId="2F8CE6E2">
            <w:pPr>
              <w:jc w:val="left"/>
            </w:pPr>
            <w:r>
              <w:t>USD/CNH 方向、相对债券收益率利差交易</w:t>
            </w:r>
          </w:p>
        </w:tc>
      </w:tr>
      <w:tr w14:paraId="46EA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F2ADA7D">
            <w:pPr>
              <w:jc w:val="left"/>
            </w:pPr>
            <w:r>
              <w:rPr>
                <w:b/>
              </w:rPr>
              <w:t>中美政策预期差</w:t>
            </w:r>
          </w:p>
        </w:tc>
        <w:tc>
          <w:tcPr>
            <w:tcW w:w="2768" w:type="dxa"/>
            <w:vAlign w:val="center"/>
          </w:tcPr>
          <w:p w14:paraId="27C6F018">
            <w:pPr>
              <w:jc w:val="left"/>
            </w:pPr>
            <w:r>
              <w:t>(中国政策力度 − 中国隐含政策) − (美国政策力度 − 美国隐含政策)</w:t>
            </w:r>
          </w:p>
        </w:tc>
        <w:tc>
          <w:tcPr>
            <w:tcW w:w="2768" w:type="dxa"/>
            <w:vAlign w:val="center"/>
          </w:tcPr>
          <w:p w14:paraId="496884AA">
            <w:pPr>
              <w:jc w:val="left"/>
            </w:pPr>
            <w:r>
              <w:t>A 股 vs 美股、CNH vs USD</w:t>
            </w:r>
          </w:p>
        </w:tc>
      </w:tr>
      <w:tr w14:paraId="5C6A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5D76410">
            <w:pPr>
              <w:jc w:val="left"/>
            </w:pPr>
            <w:r>
              <w:rPr>
                <w:b/>
              </w:rPr>
              <w:t>中美流动性差</w:t>
            </w:r>
          </w:p>
        </w:tc>
        <w:tc>
          <w:tcPr>
            <w:tcW w:w="2768" w:type="dxa"/>
            <w:vAlign w:val="center"/>
          </w:tcPr>
          <w:p w14:paraId="55C18129">
            <w:pPr>
              <w:jc w:val="left"/>
            </w:pPr>
            <w:r>
              <w:t>中国 FCI − 美国 FCI（标准化后）</w:t>
            </w:r>
          </w:p>
        </w:tc>
        <w:tc>
          <w:tcPr>
            <w:tcW w:w="2768" w:type="dxa"/>
            <w:vAlign w:val="center"/>
          </w:tcPr>
          <w:p w14:paraId="5677EC8D">
            <w:pPr>
              <w:jc w:val="left"/>
            </w:pPr>
            <w:r>
              <w:t>全球资本流向、新兴市场偏好（中国 FCI 更松 → 资本流入中国）</w:t>
            </w:r>
          </w:p>
        </w:tc>
      </w:tr>
      <w:tr w14:paraId="1291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5978AF3">
            <w:pPr>
              <w:jc w:val="left"/>
            </w:pPr>
            <w:r>
              <w:rPr>
                <w:b/>
              </w:rPr>
              <w:t>中美信用周期差</w:t>
            </w:r>
          </w:p>
        </w:tc>
        <w:tc>
          <w:tcPr>
            <w:tcW w:w="2768" w:type="dxa"/>
            <w:vAlign w:val="center"/>
          </w:tcPr>
          <w:p w14:paraId="55EDBEC5">
            <w:pPr>
              <w:jc w:val="left"/>
            </w:pPr>
            <w:r>
              <w:t>中国信用脉冲 − 美国信用脉冲</w:t>
            </w:r>
          </w:p>
        </w:tc>
        <w:tc>
          <w:tcPr>
            <w:tcW w:w="2768" w:type="dxa"/>
            <w:vAlign w:val="center"/>
          </w:tcPr>
          <w:p w14:paraId="0DAFEB3D">
            <w:pPr>
              <w:jc w:val="left"/>
            </w:pPr>
            <w:r>
              <w:t>相对周期股表现、铜价方向（中国信用脉冲领先大宗需求）</w:t>
            </w:r>
          </w:p>
        </w:tc>
      </w:tr>
      <w:tr w14:paraId="7F37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A9EBC15">
            <w:pPr>
              <w:jc w:val="left"/>
            </w:pPr>
            <w:r>
              <w:rPr>
                <w:b/>
              </w:rPr>
              <w:t>美元-大宗联动信号</w:t>
            </w:r>
          </w:p>
        </w:tc>
        <w:tc>
          <w:tcPr>
            <w:tcW w:w="2768" w:type="dxa"/>
            <w:vAlign w:val="center"/>
          </w:tcPr>
          <w:p w14:paraId="35B79BD7">
            <w:pPr>
              <w:jc w:val="left"/>
            </w:pPr>
            <w:r>
              <w:t>Layer 2.5 全球宏观三角的状态切换</w:t>
            </w:r>
          </w:p>
        </w:tc>
        <w:tc>
          <w:tcPr>
            <w:tcW w:w="2768" w:type="dxa"/>
            <w:vAlign w:val="center"/>
          </w:tcPr>
          <w:p w14:paraId="4AAAD3B2">
            <w:pPr>
              <w:jc w:val="left"/>
            </w:pPr>
            <w:r>
              <w:t>整体风险资产偏好的整体偏置（全球紧缩→低配风险资产；全球宽松→高配）</w:t>
            </w:r>
          </w:p>
        </w:tc>
      </w:tr>
    </w:tbl>
    <w:p w14:paraId="6F71D883">
      <w:pPr>
        <w:pStyle w:val="4"/>
      </w:pPr>
      <w:r>
        <w:rPr>
          <w:b/>
        </w:rPr>
        <w:t>跨国预期差的核心价值：</w:t>
      </w:r>
      <w:r>
        <w:t xml:space="preserve"> 当中美处于不同周期阶段时（如中国复苏 + 美国衰退），跨国预期差信号提供纯相对价值交易机会，不依赖单一市场的绝对方向判断。</w:t>
      </w:r>
    </w:p>
    <w:p w14:paraId="7A442ECF">
      <w:pPr>
        <w:pBdr>
          <w:bottom w:val="single" w:color="auto" w:sz="8" w:space="0"/>
        </w:pBdr>
      </w:pPr>
    </w:p>
    <w:p w14:paraId="0785AF67">
      <w:pPr>
        <w:pStyle w:val="9"/>
      </w:pPr>
      <w:r>
        <w:t>4.3 信号强度与多元化</w:t>
      </w:r>
    </w:p>
    <w:p w14:paraId="32DFFB27">
      <w:pPr>
        <w:pStyle w:val="8"/>
      </w:pPr>
      <w:r>
        <w:t>信号强度评级</w:t>
      </w:r>
    </w:p>
    <w:p w14:paraId="497C3C52">
      <w:pPr>
        <w:pStyle w:val="4"/>
      </w:pPr>
      <w:r>
        <w:t>每个预期差信号生成</w:t>
      </w:r>
      <w:r>
        <w:rPr>
          <w:b/>
        </w:rPr>
        <w:t>方向</w:t>
      </w:r>
      <w:r>
        <w:t>（正/负）和</w:t>
      </w:r>
      <w:r>
        <w:rPr>
          <w:b/>
        </w:rPr>
        <w:t>强度</w:t>
      </w:r>
      <w:r>
        <w:t>（历史百分位）：</w:t>
      </w:r>
    </w:p>
    <w:p w14:paraId="6F2F45F7">
      <w:pPr>
        <w:pStyle w:val="4"/>
        <w:numPr>
          <w:ilvl w:val="0"/>
          <w:numId w:val="30"/>
        </w:numPr>
      </w:pPr>
      <w:r>
        <w:t>方向：预期差 &gt; 0 = 正信号，&lt; 0 = 负信号</w:t>
      </w:r>
    </w:p>
    <w:p w14:paraId="2D220D05">
      <w:pPr>
        <w:pStyle w:val="4"/>
        <w:numPr>
          <w:ilvl w:val="0"/>
          <w:numId w:val="30"/>
        </w:numPr>
      </w:pPr>
      <w:r>
        <w:t>强度：取该预期差绝对值的 5 年滚动百分位排名</w:t>
      </w:r>
    </w:p>
    <w:p w14:paraId="529CA948">
      <w:pPr>
        <w:pStyle w:val="4"/>
        <w:numPr>
          <w:ilvl w:val="1"/>
          <w:numId w:val="30"/>
        </w:numPr>
      </w:pPr>
      <w:r>
        <w:t>&gt; 80 分位：强信号</w:t>
      </w:r>
    </w:p>
    <w:p w14:paraId="24D3B23E">
      <w:pPr>
        <w:pStyle w:val="4"/>
        <w:numPr>
          <w:ilvl w:val="1"/>
          <w:numId w:val="30"/>
        </w:numPr>
      </w:pPr>
      <w:r>
        <w:t>50-80 分位：有效信号</w:t>
      </w:r>
    </w:p>
    <w:p w14:paraId="7B597D63">
      <w:pPr>
        <w:pStyle w:val="4"/>
        <w:numPr>
          <w:ilvl w:val="1"/>
          <w:numId w:val="30"/>
        </w:numPr>
      </w:pPr>
      <w:r>
        <w:t>&lt; 50 分位：弱信号</w:t>
      </w:r>
    </w:p>
    <w:p w14:paraId="3BB964EA">
      <w:pPr>
        <w:pStyle w:val="8"/>
      </w:pPr>
      <w:r>
        <w:t>信号来源汇总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333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8F48281">
            <w:pPr>
              <w:jc w:val="left"/>
            </w:pPr>
            <w:r>
              <w:t>信号来源</w:t>
            </w:r>
          </w:p>
        </w:tc>
        <w:tc>
          <w:tcPr>
            <w:tcW w:w="2768" w:type="dxa"/>
            <w:vAlign w:val="center"/>
          </w:tcPr>
          <w:p w14:paraId="5832F539">
            <w:pPr>
              <w:jc w:val="left"/>
            </w:pPr>
            <w:r>
              <w:t>数量</w:t>
            </w:r>
          </w:p>
        </w:tc>
        <w:tc>
          <w:tcPr>
            <w:tcW w:w="2768" w:type="dxa"/>
            <w:vAlign w:val="center"/>
          </w:tcPr>
          <w:p w14:paraId="0F604E2A">
            <w:pPr>
              <w:jc w:val="left"/>
            </w:pPr>
            <w:r>
              <w:t>示例</w:t>
            </w:r>
          </w:p>
        </w:tc>
      </w:tr>
      <w:tr w14:paraId="0FF37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6BDD9B4">
            <w:pPr>
              <w:jc w:val="left"/>
            </w:pPr>
            <w:r>
              <w:rPr>
                <w:b/>
              </w:rPr>
              <w:t>类型 A：高频意外指数</w:t>
            </w:r>
          </w:p>
        </w:tc>
        <w:tc>
          <w:tcPr>
            <w:tcW w:w="2768" w:type="dxa"/>
            <w:vAlign w:val="center"/>
          </w:tcPr>
          <w:p w14:paraId="41180A89">
            <w:pPr>
              <w:jc w:val="left"/>
            </w:pPr>
            <w:r>
              <w:t>2</w:t>
            </w:r>
          </w:p>
        </w:tc>
        <w:tc>
          <w:tcPr>
            <w:tcW w:w="2768" w:type="dxa"/>
            <w:vAlign w:val="center"/>
          </w:tcPr>
          <w:p w14:paraId="5692B942">
            <w:pPr>
              <w:jc w:val="left"/>
            </w:pPr>
            <w:r>
              <w:t>中国 CESI、美国 CESI</w:t>
            </w:r>
          </w:p>
        </w:tc>
      </w:tr>
      <w:tr w14:paraId="7288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F339C64">
            <w:pPr>
              <w:jc w:val="left"/>
            </w:pPr>
            <w:r>
              <w:rPr>
                <w:b/>
              </w:rPr>
              <w:t>类型 B：基本面 vs 市场定价</w:t>
            </w:r>
          </w:p>
        </w:tc>
        <w:tc>
          <w:tcPr>
            <w:tcW w:w="2768" w:type="dxa"/>
            <w:vAlign w:val="center"/>
          </w:tcPr>
          <w:p w14:paraId="24D2C18E">
            <w:pPr>
              <w:jc w:val="left"/>
            </w:pPr>
            <w:r>
              <w:t>4</w:t>
            </w:r>
          </w:p>
        </w:tc>
        <w:tc>
          <w:tcPr>
            <w:tcW w:w="2768" w:type="dxa"/>
            <w:vAlign w:val="center"/>
          </w:tcPr>
          <w:p w14:paraId="06FF36C1">
            <w:pPr>
              <w:jc w:val="left"/>
            </w:pPr>
            <w:r>
              <w:t>增长/通胀/政策/外部预期差</w:t>
            </w:r>
          </w:p>
        </w:tc>
      </w:tr>
      <w:tr w14:paraId="5ED76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86C3473">
            <w:pPr>
              <w:jc w:val="left"/>
            </w:pPr>
            <w:r>
              <w:rPr>
                <w:b/>
              </w:rPr>
              <w:t>类型 C：跨国预期差</w:t>
            </w:r>
          </w:p>
        </w:tc>
        <w:tc>
          <w:tcPr>
            <w:tcW w:w="2768" w:type="dxa"/>
            <w:vAlign w:val="center"/>
          </w:tcPr>
          <w:p w14:paraId="42DCD96D">
            <w:pPr>
              <w:jc w:val="left"/>
            </w:pPr>
            <w:r>
              <w:t>6</w:t>
            </w:r>
          </w:p>
        </w:tc>
        <w:tc>
          <w:tcPr>
            <w:tcW w:w="2768" w:type="dxa"/>
            <w:vAlign w:val="center"/>
          </w:tcPr>
          <w:p w14:paraId="79DF3AA5">
            <w:pPr>
              <w:jc w:val="left"/>
            </w:pPr>
            <w:r>
              <w:t>中美增长/通胀/政策/流动性/信用/美元-大宗联动</w:t>
            </w:r>
          </w:p>
        </w:tc>
      </w:tr>
      <w:tr w14:paraId="7B6B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35A6DC5">
            <w:pPr>
              <w:jc w:val="left"/>
            </w:pPr>
            <w:r>
              <w:rPr>
                <w:b/>
              </w:rPr>
              <w:t>类型 D：枢纽变量信号（Layer 2.5）</w:t>
            </w:r>
          </w:p>
        </w:tc>
        <w:tc>
          <w:tcPr>
            <w:tcW w:w="2768" w:type="dxa"/>
            <w:vAlign w:val="center"/>
          </w:tcPr>
          <w:p w14:paraId="0B913572">
            <w:pPr>
              <w:jc w:val="left"/>
            </w:pPr>
            <w:r>
              <w:t>4</w:t>
            </w:r>
          </w:p>
        </w:tc>
        <w:tc>
          <w:tcPr>
            <w:tcW w:w="2768" w:type="dxa"/>
            <w:vAlign w:val="center"/>
          </w:tcPr>
          <w:p w14:paraId="146069EE">
            <w:pPr>
              <w:jc w:val="left"/>
            </w:pPr>
            <w:r>
              <w:t>铜金比、铁矿石/铜、黄金 vs 实际利率、南华 vs 全球 PMI</w:t>
            </w:r>
          </w:p>
        </w:tc>
      </w:tr>
      <w:tr w14:paraId="5096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5E3601F">
            <w:pPr>
              <w:jc w:val="left"/>
            </w:pPr>
            <w:r>
              <w:rPr>
                <w:b/>
              </w:rPr>
              <w:t>类型 E：估值与行为</w:t>
            </w:r>
          </w:p>
        </w:tc>
        <w:tc>
          <w:tcPr>
            <w:tcW w:w="2768" w:type="dxa"/>
            <w:vAlign w:val="center"/>
          </w:tcPr>
          <w:p w14:paraId="30833B43">
            <w:pPr>
              <w:jc w:val="left"/>
            </w:pPr>
            <w:r>
              <w:t>2-3</w:t>
            </w:r>
          </w:p>
        </w:tc>
        <w:tc>
          <w:tcPr>
            <w:tcW w:w="2768" w:type="dxa"/>
            <w:vAlign w:val="center"/>
          </w:tcPr>
          <w:p w14:paraId="5971E83E">
            <w:pPr>
              <w:jc w:val="left"/>
            </w:pPr>
            <w:r>
              <w:t>A 股 ERP 极端值、北向资金极端流出、衍生品市场信号</w:t>
            </w:r>
          </w:p>
        </w:tc>
      </w:tr>
      <w:tr w14:paraId="2A98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FEE5AA3">
            <w:pPr>
              <w:jc w:val="left"/>
            </w:pPr>
            <w:r>
              <w:rPr>
                <w:b/>
              </w:rPr>
              <w:t>类型 F：元认知修正</w:t>
            </w:r>
          </w:p>
        </w:tc>
        <w:tc>
          <w:tcPr>
            <w:tcW w:w="2768" w:type="dxa"/>
            <w:vAlign w:val="center"/>
          </w:tcPr>
          <w:p w14:paraId="6740CEF4">
            <w:pPr>
              <w:jc w:val="left"/>
            </w:pPr>
            <w:r>
              <w:t>3</w:t>
            </w:r>
          </w:p>
        </w:tc>
        <w:tc>
          <w:tcPr>
            <w:tcW w:w="2768" w:type="dxa"/>
            <w:vAlign w:val="center"/>
          </w:tcPr>
          <w:p w14:paraId="532447E8">
            <w:pPr>
              <w:jc w:val="left"/>
            </w:pPr>
            <w:r>
              <w:t>反身性压力计、范式稳定性、逻辑生命周期（不直接产生新信号，但修正所有现有信号强度）</w:t>
            </w:r>
          </w:p>
        </w:tc>
      </w:tr>
      <w:tr w14:paraId="622A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983940E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768" w:type="dxa"/>
            <w:vAlign w:val="center"/>
          </w:tcPr>
          <w:p w14:paraId="773F7663">
            <w:pPr>
              <w:jc w:val="left"/>
            </w:pPr>
            <w:r>
              <w:rPr>
                <w:b/>
              </w:rPr>
              <w:t>约 23 个</w:t>
            </w:r>
          </w:p>
        </w:tc>
        <w:tc>
          <w:tcPr>
            <w:tcW w:w="2768" w:type="dxa"/>
            <w:vAlign w:val="center"/>
          </w:tcPr>
          <w:p w14:paraId="1B24C290">
            <w:pPr>
              <w:jc w:val="left"/>
            </w:pPr>
            <w:r>
              <w:t>目标是其中 10-15 个真正不相关；类型 F 为全局修正因子，不参与独立性检验</w:t>
            </w:r>
          </w:p>
        </w:tc>
      </w:tr>
    </w:tbl>
    <w:p w14:paraId="56789150">
      <w:pPr>
        <w:pStyle w:val="8"/>
      </w:pPr>
      <w:r>
        <w:t>投资圣杯原理</w:t>
      </w:r>
    </w:p>
    <w:p w14:paraId="172B8DBB">
      <w:pPr>
        <w:pStyle w:val="4"/>
      </w:pPr>
      <w:r>
        <w:rPr>
          <w:b/>
        </w:rPr>
        <w:t>N 个不相关信号叠加，组合夏普 = 单信号夏普 × √N</w:t>
      </w:r>
    </w:p>
    <w:p w14:paraId="5C108342">
      <w:pPr>
        <w:pStyle w:val="4"/>
        <w:numPr>
          <w:ilvl w:val="0"/>
          <w:numId w:val="31"/>
        </w:numPr>
      </w:pPr>
      <w:r>
        <w:t>假设单信号夏普 = 0.3，则 10 个不相关信号组合夏普 = 0.3 × √10 ≈ 0.95</w:t>
      </w:r>
    </w:p>
    <w:p w14:paraId="4BEDECDE">
      <w:pPr>
        <w:pStyle w:val="4"/>
        <w:numPr>
          <w:ilvl w:val="0"/>
          <w:numId w:val="31"/>
        </w:numPr>
      </w:pPr>
      <w:r>
        <w:t>关键约束：信号之间必须</w:t>
      </w:r>
      <w:r>
        <w:rPr>
          <w:b/>
        </w:rPr>
        <w:t>低相关</w:t>
      </w:r>
      <w:r>
        <w:t>。类型 A/B/C/D/E 的信号来源不同（经济数据、市场定价、跨国差、大宗比值、行为指标），天然具有低相关性；类型 F（元认知修正）为全局修正因子，不产生新信号方向，而是对现有信号强度做乘法修正</w:t>
      </w:r>
    </w:p>
    <w:p w14:paraId="1691F92E">
      <w:pPr>
        <w:pStyle w:val="4"/>
        <w:numPr>
          <w:ilvl w:val="0"/>
          <w:numId w:val="31"/>
        </w:numPr>
      </w:pPr>
      <w:r>
        <w:t>实际目标：从约 20 个信号中筛选出 10-15 个相关系数 &lt; 0.3 的信号源叠加</w:t>
      </w:r>
    </w:p>
    <w:p w14:paraId="4BA46F8C">
      <w:pPr>
        <w:pStyle w:val="4"/>
      </w:pPr>
      <w:r>
        <w:rPr>
          <w:b/>
        </w:rPr>
        <w:t>相关性检验：</w:t>
      </w:r>
      <w:r>
        <w:t xml:space="preserve"> 每季度对全部信号做滚动 2 年相关系数矩阵检验，相关系数 &gt; 0.5 的信号对取其一或降权。</w:t>
      </w:r>
    </w:p>
    <w:p w14:paraId="6DA53CE1">
      <w:pPr>
        <w:pBdr>
          <w:bottom w:val="single" w:color="auto" w:sz="8" w:space="0"/>
        </w:pBdr>
      </w:pPr>
    </w:p>
    <w:p w14:paraId="74F9E4FF">
      <w:pPr>
        <w:pStyle w:val="9"/>
      </w:pPr>
      <w:r>
        <w:t>4.4 有效性评级与信号强度映射</w:t>
      </w:r>
    </w:p>
    <w:p w14:paraId="6F9855BC">
      <w:pPr>
        <w:pStyle w:val="4"/>
      </w:pPr>
      <w:r>
        <w:t>有效性评级（0-10 分）在本层转化为</w:t>
      </w:r>
      <w:r>
        <w:rPr>
          <w:b/>
        </w:rPr>
        <w:t>信号强度</w:t>
      </w:r>
      <w:r>
        <w:t>评级：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93A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C593A9">
            <w:pPr>
              <w:jc w:val="left"/>
            </w:pPr>
            <w:r>
              <w:t>评级</w:t>
            </w:r>
          </w:p>
        </w:tc>
        <w:tc>
          <w:tcPr>
            <w:tcW w:w="2076" w:type="dxa"/>
            <w:vAlign w:val="center"/>
          </w:tcPr>
          <w:p w14:paraId="3247FE31">
            <w:pPr>
              <w:jc w:val="left"/>
            </w:pPr>
            <w:r>
              <w:t>信号强度</w:t>
            </w:r>
          </w:p>
        </w:tc>
        <w:tc>
          <w:tcPr>
            <w:tcW w:w="2076" w:type="dxa"/>
            <w:vAlign w:val="center"/>
          </w:tcPr>
          <w:p w14:paraId="6B79784A">
            <w:pPr>
              <w:jc w:val="left"/>
            </w:pPr>
            <w:r>
              <w:t>历史分位</w:t>
            </w:r>
          </w:p>
        </w:tc>
        <w:tc>
          <w:tcPr>
            <w:tcW w:w="2076" w:type="dxa"/>
            <w:vAlign w:val="center"/>
          </w:tcPr>
          <w:p w14:paraId="1A70C93A">
            <w:pPr>
              <w:jc w:val="left"/>
            </w:pPr>
            <w:r>
              <w:t>执行指引</w:t>
            </w:r>
          </w:p>
        </w:tc>
      </w:tr>
      <w:tr w14:paraId="4A1D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B364902">
            <w:pPr>
              <w:jc w:val="left"/>
            </w:pPr>
            <w:r>
              <w:t>8-10 分</w:t>
            </w:r>
          </w:p>
        </w:tc>
        <w:tc>
          <w:tcPr>
            <w:tcW w:w="2076" w:type="dxa"/>
            <w:vAlign w:val="center"/>
          </w:tcPr>
          <w:p w14:paraId="48B6BD03">
            <w:pPr>
              <w:jc w:val="left"/>
            </w:pPr>
            <w:r>
              <w:t>强信号</w:t>
            </w:r>
          </w:p>
        </w:tc>
        <w:tc>
          <w:tcPr>
            <w:tcW w:w="2076" w:type="dxa"/>
            <w:vAlign w:val="center"/>
          </w:tcPr>
          <w:p w14:paraId="2CDB0857">
            <w:pPr>
              <w:jc w:val="left"/>
            </w:pPr>
            <w:r>
              <w:t>≥ 80% 分位</w:t>
            </w:r>
          </w:p>
        </w:tc>
        <w:tc>
          <w:tcPr>
            <w:tcW w:w="2076" w:type="dxa"/>
            <w:vAlign w:val="center"/>
          </w:tcPr>
          <w:p w14:paraId="1C740487">
            <w:pPr>
              <w:jc w:val="left"/>
            </w:pPr>
            <w:r>
              <w:t>可执行方向性判断，允许超越基准偏移</w:t>
            </w:r>
          </w:p>
        </w:tc>
      </w:tr>
      <w:tr w14:paraId="69CD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1355769">
            <w:pPr>
              <w:jc w:val="left"/>
            </w:pPr>
            <w:r>
              <w:t>5-7 分</w:t>
            </w:r>
          </w:p>
        </w:tc>
        <w:tc>
          <w:tcPr>
            <w:tcW w:w="2076" w:type="dxa"/>
            <w:vAlign w:val="center"/>
          </w:tcPr>
          <w:p w14:paraId="3D9166C3">
            <w:pPr>
              <w:jc w:val="left"/>
            </w:pPr>
            <w:r>
              <w:t>有效信号</w:t>
            </w:r>
          </w:p>
        </w:tc>
        <w:tc>
          <w:tcPr>
            <w:tcW w:w="2076" w:type="dxa"/>
            <w:vAlign w:val="center"/>
          </w:tcPr>
          <w:p w14:paraId="5D1CD67A">
            <w:pPr>
              <w:jc w:val="left"/>
            </w:pPr>
            <w:r>
              <w:t>50%-80% 分位</w:t>
            </w:r>
          </w:p>
        </w:tc>
        <w:tc>
          <w:tcPr>
            <w:tcW w:w="2076" w:type="dxa"/>
            <w:vAlign w:val="center"/>
          </w:tcPr>
          <w:p w14:paraId="0D368514">
            <w:pPr>
              <w:jc w:val="left"/>
            </w:pPr>
            <w:r>
              <w:t>可执行但控制仓位，偏移不超过基准的 ±15%</w:t>
            </w:r>
          </w:p>
        </w:tc>
      </w:tr>
      <w:tr w14:paraId="3D5A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95E5FF7">
            <w:pPr>
              <w:jc w:val="left"/>
            </w:pPr>
            <w:r>
              <w:t>0-4 分</w:t>
            </w:r>
          </w:p>
        </w:tc>
        <w:tc>
          <w:tcPr>
            <w:tcW w:w="2076" w:type="dxa"/>
            <w:vAlign w:val="center"/>
          </w:tcPr>
          <w:p w14:paraId="76A001D0">
            <w:pPr>
              <w:jc w:val="left"/>
            </w:pPr>
            <w:r>
              <w:t>弱信号</w:t>
            </w:r>
          </w:p>
        </w:tc>
        <w:tc>
          <w:tcPr>
            <w:tcW w:w="2076" w:type="dxa"/>
            <w:vAlign w:val="center"/>
          </w:tcPr>
          <w:p w14:paraId="706E8F85">
            <w:pPr>
              <w:jc w:val="left"/>
            </w:pPr>
            <w:r>
              <w:t>&lt; 50% 分位</w:t>
            </w:r>
          </w:p>
        </w:tc>
        <w:tc>
          <w:tcPr>
            <w:tcW w:w="2076" w:type="dxa"/>
            <w:vAlign w:val="center"/>
          </w:tcPr>
          <w:p w14:paraId="7FF14894">
            <w:pPr>
              <w:jc w:val="left"/>
            </w:pPr>
            <w:r>
              <w:t>仅做结构性配置，不做方向性押注</w:t>
            </w:r>
          </w:p>
        </w:tc>
      </w:tr>
    </w:tbl>
    <w:p w14:paraId="13DCDFD7">
      <w:pPr>
        <w:pStyle w:val="4"/>
      </w:pPr>
      <w:r>
        <w:rPr>
          <w:b/>
        </w:rPr>
        <w:t>边际变化标记：</w:t>
      </w:r>
    </w:p>
    <w:p w14:paraId="5E997E64">
      <w:pPr>
        <w:pStyle w:val="4"/>
      </w:pPr>
      <w:r>
        <w:t>边际变化标记（↗ 增强 / ↘ 减弱 / — 持平）作为信号强度评分的加减分项：</w:t>
      </w:r>
    </w:p>
    <w:p w14:paraId="26F37B40">
      <w:pPr>
        <w:pStyle w:val="4"/>
        <w:numPr>
          <w:ilvl w:val="0"/>
          <w:numId w:val="32"/>
        </w:numPr>
      </w:pPr>
      <w:r>
        <w:t>信号强度 + 边际 ↗：强度评分 +5 分位（如 75% → 80%，升级为强信号）</w:t>
      </w:r>
    </w:p>
    <w:p w14:paraId="199D1DB0">
      <w:pPr>
        <w:pStyle w:val="4"/>
        <w:numPr>
          <w:ilvl w:val="0"/>
          <w:numId w:val="32"/>
        </w:numPr>
      </w:pPr>
      <w:r>
        <w:t>信号强度 + 边际 ↘：强度评分 −5 分位（如 82% → 77%，降级为有效信号）</w:t>
      </w:r>
    </w:p>
    <w:p w14:paraId="64F294F6">
      <w:pPr>
        <w:pStyle w:val="4"/>
        <w:numPr>
          <w:ilvl w:val="0"/>
          <w:numId w:val="32"/>
        </w:numPr>
      </w:pPr>
      <w:r>
        <w:t>信号强度 + 边际 —：维持原评分不变</w:t>
      </w:r>
    </w:p>
    <w:p w14:paraId="10561BB3">
      <w:pPr>
        <w:pBdr>
          <w:bottom w:val="single" w:color="auto" w:sz="8" w:space="0"/>
        </w:pBdr>
      </w:pPr>
    </w:p>
    <w:p w14:paraId="20660A14">
      <w:pPr>
        <w:pStyle w:val="9"/>
      </w:pPr>
      <w:r>
        <w:t>4.5 信号衰减与复核规则</w:t>
      </w:r>
    </w:p>
    <w:p w14:paraId="62664EE0">
      <w:pPr>
        <w:pStyle w:val="8"/>
      </w:pPr>
      <w:r>
        <w:t>信号有效期衰减规则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220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EA559D8">
            <w:pPr>
              <w:jc w:val="left"/>
            </w:pPr>
            <w:r>
              <w:t>信号类型</w:t>
            </w:r>
          </w:p>
        </w:tc>
        <w:tc>
          <w:tcPr>
            <w:tcW w:w="2076" w:type="dxa"/>
            <w:vAlign w:val="center"/>
          </w:tcPr>
          <w:p w14:paraId="55BA383B">
            <w:pPr>
              <w:jc w:val="left"/>
            </w:pPr>
            <w:r>
              <w:t>初始有效期</w:t>
            </w:r>
          </w:p>
        </w:tc>
        <w:tc>
          <w:tcPr>
            <w:tcW w:w="2076" w:type="dxa"/>
            <w:vAlign w:val="center"/>
          </w:tcPr>
          <w:p w14:paraId="4D7A2441">
            <w:pPr>
              <w:jc w:val="left"/>
            </w:pPr>
            <w:r>
              <w:t>衰减方式</w:t>
            </w:r>
          </w:p>
        </w:tc>
        <w:tc>
          <w:tcPr>
            <w:tcW w:w="2076" w:type="dxa"/>
            <w:vAlign w:val="center"/>
          </w:tcPr>
          <w:p w14:paraId="61C14B56">
            <w:pPr>
              <w:jc w:val="left"/>
            </w:pPr>
            <w:r>
              <w:t>说明</w:t>
            </w:r>
          </w:p>
        </w:tc>
      </w:tr>
      <w:tr w14:paraId="6FC6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4FC2BDB">
            <w:pPr>
              <w:jc w:val="left"/>
            </w:pPr>
            <w:r>
              <w:t>类型 A：高频意外</w:t>
            </w:r>
          </w:p>
        </w:tc>
        <w:tc>
          <w:tcPr>
            <w:tcW w:w="2076" w:type="dxa"/>
            <w:vAlign w:val="center"/>
          </w:tcPr>
          <w:p w14:paraId="4C4DBA76">
            <w:pPr>
              <w:jc w:val="left"/>
            </w:pPr>
            <w:r>
              <w:t>2-4 周</w:t>
            </w:r>
          </w:p>
        </w:tc>
        <w:tc>
          <w:tcPr>
            <w:tcW w:w="2076" w:type="dxa"/>
            <w:vAlign w:val="center"/>
          </w:tcPr>
          <w:p w14:paraId="1949097C">
            <w:pPr>
              <w:jc w:val="left"/>
            </w:pPr>
            <w:r>
              <w:t>每周衰减 25%</w:t>
            </w:r>
          </w:p>
        </w:tc>
        <w:tc>
          <w:tcPr>
            <w:tcW w:w="2076" w:type="dxa"/>
            <w:vAlign w:val="center"/>
          </w:tcPr>
          <w:p w14:paraId="77C9D520">
            <w:pPr>
              <w:jc w:val="left"/>
            </w:pPr>
            <w:r>
              <w:t>数据发布冲击衰减最快</w:t>
            </w:r>
          </w:p>
        </w:tc>
      </w:tr>
      <w:tr w14:paraId="545E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369BBD">
            <w:pPr>
              <w:jc w:val="left"/>
            </w:pPr>
            <w:r>
              <w:t>类型 B：基本面 vs 定价</w:t>
            </w:r>
          </w:p>
        </w:tc>
        <w:tc>
          <w:tcPr>
            <w:tcW w:w="2076" w:type="dxa"/>
            <w:vAlign w:val="center"/>
          </w:tcPr>
          <w:p w14:paraId="228278D9">
            <w:pPr>
              <w:jc w:val="left"/>
            </w:pPr>
            <w:r>
              <w:t>1-3 个月</w:t>
            </w:r>
          </w:p>
        </w:tc>
        <w:tc>
          <w:tcPr>
            <w:tcW w:w="2076" w:type="dxa"/>
            <w:vAlign w:val="center"/>
          </w:tcPr>
          <w:p w14:paraId="23F4C8E0">
            <w:pPr>
              <w:jc w:val="left"/>
            </w:pPr>
            <w:r>
              <w:t>每月衰减 20%</w:t>
            </w:r>
          </w:p>
        </w:tc>
        <w:tc>
          <w:tcPr>
            <w:tcW w:w="2076" w:type="dxa"/>
            <w:vAlign w:val="center"/>
          </w:tcPr>
          <w:p w14:paraId="2F181E09">
            <w:pPr>
              <w:jc w:val="left"/>
            </w:pPr>
            <w:r>
              <w:t>基本面定价修正具有持续性</w:t>
            </w:r>
          </w:p>
        </w:tc>
      </w:tr>
      <w:tr w14:paraId="12FC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78FD144">
            <w:pPr>
              <w:jc w:val="left"/>
            </w:pPr>
            <w:r>
              <w:t>类型 C：跨国预期差</w:t>
            </w:r>
          </w:p>
        </w:tc>
        <w:tc>
          <w:tcPr>
            <w:tcW w:w="2076" w:type="dxa"/>
            <w:vAlign w:val="center"/>
          </w:tcPr>
          <w:p w14:paraId="45F7DDB6">
            <w:pPr>
              <w:jc w:val="left"/>
            </w:pPr>
            <w:r>
              <w:t>1-3 个月</w:t>
            </w:r>
          </w:p>
        </w:tc>
        <w:tc>
          <w:tcPr>
            <w:tcW w:w="2076" w:type="dxa"/>
            <w:vAlign w:val="center"/>
          </w:tcPr>
          <w:p w14:paraId="09C93884">
            <w:pPr>
              <w:jc w:val="left"/>
            </w:pPr>
            <w:r>
              <w:t>每月衰减 15%</w:t>
            </w:r>
          </w:p>
        </w:tc>
        <w:tc>
          <w:tcPr>
            <w:tcW w:w="2076" w:type="dxa"/>
            <w:vAlign w:val="center"/>
          </w:tcPr>
          <w:p w14:paraId="535C0B52">
            <w:pPr>
              <w:jc w:val="left"/>
            </w:pPr>
            <w:r>
              <w:t>跨国周期错位持续性最长</w:t>
            </w:r>
          </w:p>
        </w:tc>
      </w:tr>
      <w:tr w14:paraId="0225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D6F71E5">
            <w:pPr>
              <w:jc w:val="left"/>
            </w:pPr>
            <w:r>
              <w:t>前瞻信号</w:t>
            </w:r>
          </w:p>
        </w:tc>
        <w:tc>
          <w:tcPr>
            <w:tcW w:w="2076" w:type="dxa"/>
            <w:vAlign w:val="center"/>
          </w:tcPr>
          <w:p w14:paraId="55A2E139">
            <w:pPr>
              <w:jc w:val="left"/>
            </w:pPr>
            <w:r>
              <w:t>最长 1 个月</w:t>
            </w:r>
          </w:p>
        </w:tc>
        <w:tc>
          <w:tcPr>
            <w:tcW w:w="2076" w:type="dxa"/>
            <w:vAlign w:val="center"/>
          </w:tcPr>
          <w:p w14:paraId="00ABDF71">
            <w:pPr>
              <w:jc w:val="left"/>
            </w:pPr>
            <w:r>
              <w:t>硬性到期</w:t>
            </w:r>
          </w:p>
        </w:tc>
        <w:tc>
          <w:tcPr>
            <w:tcW w:w="2076" w:type="dxa"/>
            <w:vAlign w:val="center"/>
          </w:tcPr>
          <w:p w14:paraId="48E0066E">
            <w:pPr>
              <w:jc w:val="left"/>
            </w:pPr>
            <w:r>
              <w:t>前瞻信号有效期不超过 1 个月，到期强制降级</w:t>
            </w:r>
          </w:p>
        </w:tc>
      </w:tr>
    </w:tbl>
    <w:p w14:paraId="156589BB">
      <w:pPr>
        <w:pStyle w:val="8"/>
      </w:pPr>
      <w:r>
        <w:t>信号发布后跟踪规则</w:t>
      </w:r>
    </w:p>
    <w:p w14:paraId="239C40FB">
      <w:pPr>
        <w:pStyle w:val="4"/>
        <w:numPr>
          <w:ilvl w:val="0"/>
          <w:numId w:val="33"/>
        </w:numPr>
      </w:pPr>
      <w:r>
        <w:rPr>
          <w:b/>
        </w:rPr>
        <w:t>连续 2 周反向</w:t>
      </w:r>
      <w:r>
        <w:t>：触发复核——检查 Layer 1 实际状态是否已变化、Layer 3 市场定价是否已修正</w:t>
      </w:r>
    </w:p>
    <w:p w14:paraId="03A98DFB">
      <w:pPr>
        <w:pStyle w:val="4"/>
        <w:numPr>
          <w:ilvl w:val="0"/>
          <w:numId w:val="33"/>
        </w:numPr>
      </w:pPr>
      <w:r>
        <w:rPr>
          <w:b/>
        </w:rPr>
        <w:t>连续 3 周反向</w:t>
      </w:r>
      <w:r>
        <w:t>：强制降级——信号强度评分降至 ≤ 50 分位，转为弱信号</w:t>
      </w:r>
    </w:p>
    <w:p w14:paraId="785AADBA">
      <w:pPr>
        <w:pStyle w:val="4"/>
        <w:numPr>
          <w:ilvl w:val="0"/>
          <w:numId w:val="33"/>
        </w:numPr>
      </w:pPr>
      <w:r>
        <w:rPr>
          <w:b/>
        </w:rPr>
        <w:t>复核结果记录</w:t>
      </w:r>
      <w:r>
        <w:t>：所有复核在周报中记录原因、结论、后续行动</w:t>
      </w:r>
    </w:p>
    <w:p w14:paraId="4EA552CF">
      <w:pPr>
        <w:pStyle w:val="8"/>
      </w:pPr>
      <w:r>
        <w:t>信号强制清零规则</w:t>
      </w:r>
    </w:p>
    <w:p w14:paraId="525C7732">
      <w:pPr>
        <w:pStyle w:val="4"/>
      </w:pPr>
      <w:r>
        <w:t>以下情况信号强制清零（不再参与 Layer 5 权重计算）：</w:t>
      </w:r>
    </w:p>
    <w:p w14:paraId="46FE7FBF">
      <w:pPr>
        <w:pStyle w:val="4"/>
        <w:numPr>
          <w:ilvl w:val="0"/>
          <w:numId w:val="34"/>
        </w:numPr>
      </w:pPr>
      <w:r>
        <w:t>信号有效期到期且未续期</w:t>
      </w:r>
    </w:p>
    <w:p w14:paraId="768AFA5A">
      <w:pPr>
        <w:pStyle w:val="4"/>
        <w:numPr>
          <w:ilvl w:val="0"/>
          <w:numId w:val="34"/>
        </w:numPr>
      </w:pPr>
      <w:r>
        <w:t>连续 3 周反向且复核确认基本面已反转</w:t>
      </w:r>
    </w:p>
    <w:p w14:paraId="61B44DD1">
      <w:pPr>
        <w:pStyle w:val="4"/>
        <w:numPr>
          <w:ilvl w:val="0"/>
          <w:numId w:val="34"/>
        </w:numPr>
      </w:pPr>
      <w:r>
        <w:t>预期差从显著水平回落至 |z-score| &lt; 0.5σ</w:t>
      </w:r>
    </w:p>
    <w:p w14:paraId="09D0C89A">
      <w:pPr>
        <w:pBdr>
          <w:bottom w:val="single" w:color="auto" w:sz="8" w:space="0"/>
        </w:pBdr>
      </w:pPr>
    </w:p>
    <w:p w14:paraId="5886DC42">
      <w:pPr>
        <w:pStyle w:val="9"/>
      </w:pPr>
      <w:r>
        <w:t>4.6 逻辑生命周期与叙事共识度监控</w:t>
      </w:r>
    </w:p>
    <w:p w14:paraId="1D96C8B4">
      <w:pPr>
        <w:pStyle w:val="8"/>
      </w:pPr>
      <w:r>
        <w:t>4.6.1 设计依据</w:t>
      </w:r>
    </w:p>
    <w:p w14:paraId="48760086">
      <w:pPr>
        <w:pStyle w:val="4"/>
      </w:pPr>
      <w:r>
        <w:t>Layer 4 预期差信号引擎计算的是某一时刻"实际状态 vs 市场定价"的静态差值。但投资逻辑具有动态生命周期：</w:t>
      </w:r>
    </w:p>
    <w:p w14:paraId="35240B87">
      <w:pPr>
        <w:pStyle w:val="12"/>
      </w:pPr>
      <w:r>
        <w:rPr>
          <w:b/>
        </w:rPr>
        <w:t>逻辑萌芽</w:t>
      </w:r>
      <w:r>
        <w:t xml:space="preserve">（无人关注）→ </w:t>
      </w:r>
      <w:r>
        <w:rPr>
          <w:b/>
        </w:rPr>
        <w:t>逻辑扩散</w:t>
      </w:r>
      <w:r>
        <w:t xml:space="preserve">（部分人认同）→ </w:t>
      </w:r>
      <w:r>
        <w:rPr>
          <w:b/>
        </w:rPr>
        <w:t>逻辑共识</w:t>
      </w:r>
      <w:r>
        <w:t xml:space="preserve">（广泛接受）→ </w:t>
      </w:r>
      <w:r>
        <w:rPr>
          <w:b/>
        </w:rPr>
        <w:t>逻辑透支</w:t>
      </w:r>
      <w:r>
        <w:t xml:space="preserve">（过度定价）→ </w:t>
      </w:r>
      <w:r>
        <w:rPr>
          <w:b/>
        </w:rPr>
        <w:t>逻辑崩塌</w:t>
      </w:r>
      <w:r>
        <w:t>（预期差逆转）</w:t>
      </w:r>
    </w:p>
    <w:p w14:paraId="79D764D9">
      <w:pPr>
        <w:pStyle w:val="4"/>
      </w:pPr>
      <w:r>
        <w:t>当框架识别到一个预期差信号时，如果不判断该逻辑处于生命周期的哪个阶段，可能出现：基本面数据仍然好看、预期差看起来仍然"正"，但逻辑已被市场充分消化，继续交易不再是 Alpha 而是拥挤交易。</w:t>
      </w:r>
    </w:p>
    <w:p w14:paraId="4ED78031">
      <w:pPr>
        <w:pStyle w:val="4"/>
      </w:pPr>
      <w:r>
        <w:rPr>
          <w:b/>
        </w:rPr>
        <w:t>核心原则：</w:t>
      </w:r>
      <w:r>
        <w:t xml:space="preserve"> 当预期差信号方向与市场主流共识方向一致时，该预期差已被充分定价，信号强度应自动降低。</w:t>
      </w:r>
    </w:p>
    <w:p w14:paraId="73A7123B">
      <w:pPr>
        <w:pBdr>
          <w:bottom w:val="single" w:color="auto" w:sz="8" w:space="0"/>
        </w:pBdr>
      </w:pPr>
    </w:p>
    <w:p w14:paraId="6EB6E1BC">
      <w:pPr>
        <w:pStyle w:val="8"/>
      </w:pPr>
      <w:r>
        <w:t>4.6.2 逻辑生命周期判定指标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28D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EF8A0C">
            <w:pPr>
              <w:jc w:val="left"/>
            </w:pPr>
            <w:r>
              <w:t>监控维度</w:t>
            </w:r>
          </w:p>
        </w:tc>
        <w:tc>
          <w:tcPr>
            <w:tcW w:w="2076" w:type="dxa"/>
            <w:vAlign w:val="center"/>
          </w:tcPr>
          <w:p w14:paraId="57416EC2">
            <w:pPr>
              <w:jc w:val="left"/>
            </w:pPr>
            <w:r>
              <w:t>具体指标</w:t>
            </w:r>
          </w:p>
        </w:tc>
        <w:tc>
          <w:tcPr>
            <w:tcW w:w="2076" w:type="dxa"/>
            <w:vAlign w:val="center"/>
          </w:tcPr>
          <w:p w14:paraId="3AC86F06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331E429E">
            <w:pPr>
              <w:jc w:val="left"/>
            </w:pPr>
            <w:r>
              <w:t>判定规则</w:t>
            </w:r>
          </w:p>
        </w:tc>
      </w:tr>
      <w:tr w14:paraId="4FE2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C363BAE">
            <w:pPr>
              <w:jc w:val="left"/>
            </w:pPr>
            <w:r>
              <w:rPr>
                <w:b/>
              </w:rPr>
              <w:t>卖方一致性</w:t>
            </w:r>
          </w:p>
        </w:tc>
        <w:tc>
          <w:tcPr>
            <w:tcW w:w="2076" w:type="dxa"/>
            <w:vAlign w:val="center"/>
          </w:tcPr>
          <w:p w14:paraId="6D283332">
            <w:pPr>
              <w:jc w:val="left"/>
            </w:pPr>
            <w:r>
              <w:t>卖方研报评级一致比例（买入/增持占比）、目标价集中度</w:t>
            </w:r>
          </w:p>
        </w:tc>
        <w:tc>
          <w:tcPr>
            <w:tcW w:w="2076" w:type="dxa"/>
            <w:vAlign w:val="center"/>
          </w:tcPr>
          <w:p w14:paraId="6C83094E">
            <w:pPr>
              <w:jc w:val="left"/>
            </w:pPr>
            <w:r>
              <w:t>Wind/Bloomberg</w:t>
            </w:r>
          </w:p>
        </w:tc>
        <w:tc>
          <w:tcPr>
            <w:tcW w:w="2076" w:type="dxa"/>
            <w:vAlign w:val="center"/>
          </w:tcPr>
          <w:p w14:paraId="3BE5A639">
            <w:pPr>
              <w:jc w:val="left"/>
            </w:pPr>
            <w:r>
              <w:t>买入评级占比 &gt; 75% → 逻辑共识阶段；目标价变异系数 &lt; 10% → 逻辑透支阶段</w:t>
            </w:r>
          </w:p>
        </w:tc>
      </w:tr>
      <w:tr w14:paraId="5B96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3E2BE72">
            <w:pPr>
              <w:jc w:val="left"/>
            </w:pPr>
            <w:r>
              <w:rPr>
                <w:b/>
              </w:rPr>
              <w:t>媒体饱和度</w:t>
            </w:r>
          </w:p>
        </w:tc>
        <w:tc>
          <w:tcPr>
            <w:tcW w:w="2076" w:type="dxa"/>
            <w:vAlign w:val="center"/>
          </w:tcPr>
          <w:p w14:paraId="39AFFC70">
            <w:pPr>
              <w:jc w:val="left"/>
            </w:pPr>
            <w:r>
              <w:t>关键词（如"AI""降息""复苏"）在财经媒体出现的频率同比增速</w:t>
            </w:r>
          </w:p>
        </w:tc>
        <w:tc>
          <w:tcPr>
            <w:tcW w:w="2076" w:type="dxa"/>
            <w:vAlign w:val="center"/>
          </w:tcPr>
          <w:p w14:paraId="1E61494E">
            <w:pPr>
              <w:jc w:val="left"/>
            </w:pPr>
            <w:r>
              <w:t>AI NLP 抓取 / Wind 资讯</w:t>
            </w:r>
          </w:p>
        </w:tc>
        <w:tc>
          <w:tcPr>
            <w:tcW w:w="2076" w:type="dxa"/>
            <w:vAlign w:val="center"/>
          </w:tcPr>
          <w:p w14:paraId="29F61936">
            <w:pPr>
              <w:jc w:val="left"/>
            </w:pPr>
            <w:r>
              <w:t>增速 &gt; 50% 且绝对频次处于 2 年高位 → 叙事进入大众传播阶段</w:t>
            </w:r>
          </w:p>
        </w:tc>
      </w:tr>
      <w:tr w14:paraId="07E0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9B863E2">
            <w:pPr>
              <w:jc w:val="left"/>
            </w:pPr>
            <w:r>
              <w:rPr>
                <w:b/>
              </w:rPr>
              <w:t>持仓集中度</w:t>
            </w:r>
          </w:p>
        </w:tc>
        <w:tc>
          <w:tcPr>
            <w:tcW w:w="2076" w:type="dxa"/>
            <w:vAlign w:val="center"/>
          </w:tcPr>
          <w:p w14:paraId="7C1608F7">
            <w:pPr>
              <w:jc w:val="left"/>
            </w:pPr>
            <w:r>
              <w:t>CFTC 非商业净头寸占持仓比例、ETF 单周资金流入/总规模</w:t>
            </w:r>
          </w:p>
        </w:tc>
        <w:tc>
          <w:tcPr>
            <w:tcW w:w="2076" w:type="dxa"/>
            <w:vAlign w:val="center"/>
          </w:tcPr>
          <w:p w14:paraId="2F7C65C9">
            <w:pPr>
              <w:jc w:val="left"/>
            </w:pPr>
            <w:r>
              <w:t>CFTC / 基金公司公告</w:t>
            </w:r>
          </w:p>
        </w:tc>
        <w:tc>
          <w:tcPr>
            <w:tcW w:w="2076" w:type="dxa"/>
            <w:vAlign w:val="center"/>
          </w:tcPr>
          <w:p w14:paraId="48CB2C05">
            <w:pPr>
              <w:jc w:val="left"/>
            </w:pPr>
            <w:r>
              <w:t>净头寸占比 &gt; 60% 或 ETF 单周流入 &gt; 总规模 3% → 共识拥挤</w:t>
            </w:r>
          </w:p>
        </w:tc>
      </w:tr>
      <w:tr w14:paraId="22DC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BA5B5B">
            <w:pPr>
              <w:jc w:val="left"/>
            </w:pPr>
            <w:r>
              <w:rPr>
                <w:b/>
              </w:rPr>
              <w:t>预期差方向 vs 共识方向</w:t>
            </w:r>
          </w:p>
        </w:tc>
        <w:tc>
          <w:tcPr>
            <w:tcW w:w="2076" w:type="dxa"/>
            <w:vAlign w:val="center"/>
          </w:tcPr>
          <w:p w14:paraId="158A1CDB">
            <w:pPr>
              <w:jc w:val="left"/>
            </w:pPr>
            <w:r>
              <w:t>框架信号方向与卖方一致预期方向的吻合度</w:t>
            </w:r>
          </w:p>
        </w:tc>
        <w:tc>
          <w:tcPr>
            <w:tcW w:w="2076" w:type="dxa"/>
            <w:vAlign w:val="center"/>
          </w:tcPr>
          <w:p w14:paraId="1E760576">
            <w:pPr>
              <w:jc w:val="left"/>
            </w:pPr>
            <w:r>
              <w:t>内部信号 vs 外部一致预期</w:t>
            </w:r>
          </w:p>
        </w:tc>
        <w:tc>
          <w:tcPr>
            <w:tcW w:w="2076" w:type="dxa"/>
            <w:vAlign w:val="center"/>
          </w:tcPr>
          <w:p w14:paraId="0D43CE61">
            <w:pPr>
              <w:jc w:val="left"/>
            </w:pPr>
            <w:r>
              <w:rPr>
                <w:b/>
              </w:rPr>
              <w:t>方向一致时</w:t>
            </w:r>
            <w:r>
              <w:t xml:space="preserve"> → 信号强度自动降低（见 4.6.3）</w:t>
            </w:r>
          </w:p>
        </w:tc>
      </w:tr>
    </w:tbl>
    <w:p w14:paraId="44325830">
      <w:pPr>
        <w:pBdr>
          <w:bottom w:val="single" w:color="auto" w:sz="8" w:space="0"/>
        </w:pBdr>
      </w:pPr>
    </w:p>
    <w:p w14:paraId="499DE9EC">
      <w:pPr>
        <w:pStyle w:val="8"/>
      </w:pPr>
      <w:r>
        <w:t>4.6.3 逻辑生命周期对信号强度的修正规则</w:t>
      </w:r>
    </w:p>
    <w:p w14:paraId="00421EEB">
      <w:pPr>
        <w:pStyle w:val="4"/>
      </w:pPr>
      <w:r>
        <w:t>逻辑生命周期判定结果作为 Layer 4 信号强度的</w:t>
      </w:r>
      <w:r>
        <w:rPr>
          <w:b/>
        </w:rPr>
        <w:t>修正因子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3DE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54E60C1">
            <w:pPr>
              <w:jc w:val="left"/>
            </w:pPr>
            <w:r>
              <w:t>逻辑阶段</w:t>
            </w:r>
          </w:p>
        </w:tc>
        <w:tc>
          <w:tcPr>
            <w:tcW w:w="2076" w:type="dxa"/>
            <w:vAlign w:val="center"/>
          </w:tcPr>
          <w:p w14:paraId="40AB011E">
            <w:pPr>
              <w:jc w:val="left"/>
            </w:pPr>
            <w:r>
              <w:t>判定标准</w:t>
            </w:r>
          </w:p>
        </w:tc>
        <w:tc>
          <w:tcPr>
            <w:tcW w:w="2076" w:type="dxa"/>
            <w:vAlign w:val="center"/>
          </w:tcPr>
          <w:p w14:paraId="6842AA90">
            <w:pPr>
              <w:jc w:val="left"/>
            </w:pPr>
            <w:r>
              <w:t>信号修正系数</w:t>
            </w:r>
          </w:p>
        </w:tc>
        <w:tc>
          <w:tcPr>
            <w:tcW w:w="2076" w:type="dxa"/>
            <w:vAlign w:val="center"/>
          </w:tcPr>
          <w:p w14:paraId="1A2367FB">
            <w:pPr>
              <w:jc w:val="left"/>
            </w:pPr>
            <w:r>
              <w:t>理由</w:t>
            </w:r>
          </w:p>
        </w:tc>
      </w:tr>
      <w:tr w14:paraId="232A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2180528">
            <w:pPr>
              <w:jc w:val="left"/>
            </w:pPr>
            <w:r>
              <w:rPr>
                <w:b/>
              </w:rPr>
              <w:t>萌芽期</w:t>
            </w:r>
          </w:p>
        </w:tc>
        <w:tc>
          <w:tcPr>
            <w:tcW w:w="2076" w:type="dxa"/>
            <w:vAlign w:val="center"/>
          </w:tcPr>
          <w:p w14:paraId="52C22CD5">
            <w:pPr>
              <w:jc w:val="left"/>
            </w:pPr>
            <w:r>
              <w:t>卖方买入比 &lt; 30%，媒体无显著覆盖</w:t>
            </w:r>
          </w:p>
        </w:tc>
        <w:tc>
          <w:tcPr>
            <w:tcW w:w="2076" w:type="dxa"/>
            <w:vAlign w:val="center"/>
          </w:tcPr>
          <w:p w14:paraId="45339F07">
            <w:pPr>
              <w:jc w:val="left"/>
            </w:pPr>
            <w:r>
              <w:t>× 1.0</w:t>
            </w:r>
          </w:p>
        </w:tc>
        <w:tc>
          <w:tcPr>
            <w:tcW w:w="2076" w:type="dxa"/>
            <w:vAlign w:val="center"/>
          </w:tcPr>
          <w:p w14:paraId="5C195003">
            <w:pPr>
              <w:jc w:val="left"/>
            </w:pPr>
            <w:r>
              <w:t>预期差真实且未定价</w:t>
            </w:r>
          </w:p>
        </w:tc>
      </w:tr>
      <w:tr w14:paraId="1DC6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D4A98E4">
            <w:pPr>
              <w:jc w:val="left"/>
            </w:pPr>
            <w:r>
              <w:rPr>
                <w:b/>
              </w:rPr>
              <w:t>扩散期</w:t>
            </w:r>
          </w:p>
        </w:tc>
        <w:tc>
          <w:tcPr>
            <w:tcW w:w="2076" w:type="dxa"/>
            <w:vAlign w:val="center"/>
          </w:tcPr>
          <w:p w14:paraId="245C1BD7">
            <w:pPr>
              <w:jc w:val="left"/>
            </w:pPr>
            <w:r>
              <w:t>卖方买入比 30-60%，媒体开始关注</w:t>
            </w:r>
          </w:p>
        </w:tc>
        <w:tc>
          <w:tcPr>
            <w:tcW w:w="2076" w:type="dxa"/>
            <w:vAlign w:val="center"/>
          </w:tcPr>
          <w:p w14:paraId="3FFEF251">
            <w:pPr>
              <w:jc w:val="left"/>
            </w:pPr>
            <w:r>
              <w:t>× 0.9</w:t>
            </w:r>
          </w:p>
        </w:tc>
        <w:tc>
          <w:tcPr>
            <w:tcW w:w="2076" w:type="dxa"/>
            <w:vAlign w:val="center"/>
          </w:tcPr>
          <w:p w14:paraId="4C87BAFF">
            <w:pPr>
              <w:jc w:val="left"/>
            </w:pPr>
            <w:r>
              <w:t>预期差仍在但部分定价</w:t>
            </w:r>
          </w:p>
        </w:tc>
      </w:tr>
      <w:tr w14:paraId="2B10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D7F0C8F">
            <w:pPr>
              <w:jc w:val="left"/>
            </w:pPr>
            <w:r>
              <w:rPr>
                <w:b/>
              </w:rPr>
              <w:t>共识期</w:t>
            </w:r>
          </w:p>
        </w:tc>
        <w:tc>
          <w:tcPr>
            <w:tcW w:w="2076" w:type="dxa"/>
            <w:vAlign w:val="center"/>
          </w:tcPr>
          <w:p w14:paraId="6BA8E00B">
            <w:pPr>
              <w:jc w:val="left"/>
            </w:pPr>
            <w:r>
              <w:t>卖方买入比 60-75%，媒体高频覆盖，持仓集中度上升</w:t>
            </w:r>
          </w:p>
        </w:tc>
        <w:tc>
          <w:tcPr>
            <w:tcW w:w="2076" w:type="dxa"/>
            <w:vAlign w:val="center"/>
          </w:tcPr>
          <w:p w14:paraId="4877F0A1">
            <w:pPr>
              <w:jc w:val="left"/>
            </w:pPr>
            <w:r>
              <w:t>× 0.6</w:t>
            </w:r>
          </w:p>
        </w:tc>
        <w:tc>
          <w:tcPr>
            <w:tcW w:w="2076" w:type="dxa"/>
            <w:vAlign w:val="center"/>
          </w:tcPr>
          <w:p w14:paraId="39B26BDE">
            <w:pPr>
              <w:jc w:val="left"/>
            </w:pPr>
            <w:r>
              <w:t>预期差大部分已被交易</w:t>
            </w:r>
          </w:p>
        </w:tc>
      </w:tr>
      <w:tr w14:paraId="4081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13E0D6D">
            <w:pPr>
              <w:jc w:val="left"/>
            </w:pPr>
            <w:r>
              <w:rPr>
                <w:b/>
              </w:rPr>
              <w:t>透支期</w:t>
            </w:r>
          </w:p>
        </w:tc>
        <w:tc>
          <w:tcPr>
            <w:tcW w:w="2076" w:type="dxa"/>
            <w:vAlign w:val="center"/>
          </w:tcPr>
          <w:p w14:paraId="31363848">
            <w:pPr>
              <w:jc w:val="left"/>
            </w:pPr>
            <w:r>
              <w:t>卖方买入比 &gt; 75%，持仓极端，媒体饱和</w:t>
            </w:r>
          </w:p>
        </w:tc>
        <w:tc>
          <w:tcPr>
            <w:tcW w:w="2076" w:type="dxa"/>
            <w:vAlign w:val="center"/>
          </w:tcPr>
          <w:p w14:paraId="61889595">
            <w:pPr>
              <w:jc w:val="left"/>
            </w:pPr>
            <w:r>
              <w:t>× 0.3</w:t>
            </w:r>
          </w:p>
        </w:tc>
        <w:tc>
          <w:tcPr>
            <w:tcW w:w="2076" w:type="dxa"/>
            <w:vAlign w:val="center"/>
          </w:tcPr>
          <w:p w14:paraId="0B0DAE86">
            <w:pPr>
              <w:jc w:val="left"/>
            </w:pPr>
            <w:r>
              <w:t>预期差已充分定价，Alpha 接近零</w:t>
            </w:r>
          </w:p>
        </w:tc>
      </w:tr>
      <w:tr w14:paraId="57CA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7EB8946">
            <w:pPr>
              <w:jc w:val="left"/>
            </w:pPr>
            <w:r>
              <w:rPr>
                <w:b/>
              </w:rPr>
              <w:t>崩塌期</w:t>
            </w:r>
          </w:p>
        </w:tc>
        <w:tc>
          <w:tcPr>
            <w:tcW w:w="2076" w:type="dxa"/>
            <w:vAlign w:val="center"/>
          </w:tcPr>
          <w:p w14:paraId="0ACA5432">
            <w:pPr>
              <w:jc w:val="left"/>
            </w:pPr>
            <w:r>
              <w:t>核心数据连续 2 月反向，逻辑被证伪</w:t>
            </w:r>
          </w:p>
        </w:tc>
        <w:tc>
          <w:tcPr>
            <w:tcW w:w="2076" w:type="dxa"/>
            <w:vAlign w:val="center"/>
          </w:tcPr>
          <w:p w14:paraId="1D4DDADA">
            <w:pPr>
              <w:jc w:val="left"/>
            </w:pPr>
            <w:r>
              <w:t>× 0（强制清零）</w:t>
            </w:r>
          </w:p>
        </w:tc>
        <w:tc>
          <w:tcPr>
            <w:tcW w:w="2076" w:type="dxa"/>
            <w:vAlign w:val="center"/>
          </w:tcPr>
          <w:p w14:paraId="7AA3937A">
            <w:pPr>
              <w:jc w:val="left"/>
            </w:pPr>
            <w:r>
              <w:t>逻辑已失效</w:t>
            </w:r>
          </w:p>
        </w:tc>
      </w:tr>
    </w:tbl>
    <w:p w14:paraId="5D7413A4">
      <w:pPr>
        <w:pStyle w:val="4"/>
      </w:pPr>
      <w:r>
        <w:rPr>
          <w:b/>
        </w:rPr>
        <w:t>关键规则：</w:t>
      </w:r>
      <w:r>
        <w:t xml:space="preserve"> 当框架的预期差信号方向与市场主流共识方向一致时（4.6.2 第四行），无论绝对强度如何，信号强度至少降至 </w:t>
      </w:r>
      <w:r>
        <w:rPr>
          <w:b/>
        </w:rPr>
        <w:t>60%</w:t>
      </w:r>
      <w:r>
        <w:t>——这是反身性最直接的体现：</w:t>
      </w:r>
      <w:r>
        <w:rPr>
          <w:b/>
        </w:rPr>
        <w:t>如果所有人都在交易同一个预期差，它就不再是预期差了。</w:t>
      </w:r>
    </w:p>
    <w:p w14:paraId="2DE37A80">
      <w:pPr>
        <w:pBdr>
          <w:bottom w:val="single" w:color="auto" w:sz="8" w:space="0"/>
        </w:pBdr>
      </w:pPr>
    </w:p>
    <w:p w14:paraId="2A312B04">
      <w:pPr>
        <w:pStyle w:val="8"/>
      </w:pPr>
      <w:r>
        <w:t>4.6.4 叙事生命周期数据库</w:t>
      </w:r>
    </w:p>
    <w:p w14:paraId="76BCB66A">
      <w:pPr>
        <w:pStyle w:val="4"/>
      </w:pPr>
      <w:r>
        <w:t>框架维护一个"叙事追踪库"，记录当前活跃的投资叙事及其生命周期阶段：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7F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FAAF05F">
            <w:pPr>
              <w:jc w:val="left"/>
            </w:pPr>
            <w:r>
              <w:t>叙事标签</w:t>
            </w:r>
          </w:p>
        </w:tc>
        <w:tc>
          <w:tcPr>
            <w:tcW w:w="1661" w:type="dxa"/>
            <w:vAlign w:val="center"/>
          </w:tcPr>
          <w:p w14:paraId="1D6DC8EC">
            <w:pPr>
              <w:jc w:val="left"/>
            </w:pPr>
            <w:r>
              <w:t>触发日期</w:t>
            </w:r>
          </w:p>
        </w:tc>
        <w:tc>
          <w:tcPr>
            <w:tcW w:w="1661" w:type="dxa"/>
            <w:vAlign w:val="center"/>
          </w:tcPr>
          <w:p w14:paraId="716A9C7E">
            <w:pPr>
              <w:jc w:val="left"/>
            </w:pPr>
            <w:r>
              <w:t>当前阶段</w:t>
            </w:r>
          </w:p>
        </w:tc>
        <w:tc>
          <w:tcPr>
            <w:tcW w:w="1661" w:type="dxa"/>
            <w:vAlign w:val="center"/>
          </w:tcPr>
          <w:p w14:paraId="2E03F4D6">
            <w:pPr>
              <w:jc w:val="left"/>
            </w:pPr>
            <w:r>
              <w:t>核心监控指标</w:t>
            </w:r>
          </w:p>
        </w:tc>
        <w:tc>
          <w:tcPr>
            <w:tcW w:w="1661" w:type="dxa"/>
            <w:vAlign w:val="center"/>
          </w:tcPr>
          <w:p w14:paraId="463458CA">
            <w:pPr>
              <w:jc w:val="left"/>
            </w:pPr>
            <w:r>
              <w:t>进入下一阶段条件</w:t>
            </w:r>
          </w:p>
        </w:tc>
      </w:tr>
      <w:tr w14:paraId="19E5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4DC5A1B">
            <w:pPr>
              <w:jc w:val="left"/>
            </w:pPr>
            <w:r>
              <w:t>（动态更新）</w:t>
            </w:r>
          </w:p>
        </w:tc>
        <w:tc>
          <w:tcPr>
            <w:tcW w:w="1661" w:type="dxa"/>
            <w:vAlign w:val="center"/>
          </w:tcPr>
          <w:p w14:paraId="4DAB7FA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E7ACD50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8C14F6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5885F734">
            <w:pPr>
              <w:jc w:val="left"/>
            </w:pPr>
            <w:r>
              <w:t>—</w:t>
            </w:r>
          </w:p>
        </w:tc>
      </w:tr>
    </w:tbl>
    <w:p w14:paraId="35F33518">
      <w:pPr>
        <w:pStyle w:val="4"/>
      </w:pPr>
      <w:r>
        <w:rPr>
          <w:b/>
        </w:rPr>
        <w:t>更新频率：</w:t>
      </w:r>
      <w:r>
        <w:t xml:space="preserve"> 月度更新叙事阶段判定，周度更新监控指标数值。</w:t>
      </w:r>
      <w:r>
        <w:br w:type="textWrapping"/>
      </w:r>
    </w:p>
    <w:p w14:paraId="4EA7BF27">
      <w:pPr>
        <w:pBdr>
          <w:bottom w:val="single" w:color="auto" w:sz="8" w:space="0"/>
        </w:pBdr>
      </w:pPr>
    </w:p>
    <w:p w14:paraId="0464EF4D">
      <w:pPr>
        <w:pStyle w:val="9"/>
      </w:pPr>
      <w:r>
        <w:t>Layer 4 输出形态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71A4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C8B36C1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7BE30853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464A65E5">
            <w:pPr>
              <w:jc w:val="left"/>
            </w:pPr>
            <w:r>
              <w:t>频率</w:t>
            </w:r>
          </w:p>
        </w:tc>
      </w:tr>
      <w:tr w14:paraId="1F75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0800FFB">
            <w:pPr>
              <w:jc w:val="left"/>
            </w:pPr>
            <w:r>
              <w:t>3 类预期差信号方向与强度</w:t>
            </w:r>
          </w:p>
        </w:tc>
        <w:tc>
          <w:tcPr>
            <w:tcW w:w="2076" w:type="dxa"/>
            <w:vAlign w:val="center"/>
          </w:tcPr>
          <w:p w14:paraId="13708DD0">
            <w:pPr>
              <w:jc w:val="left"/>
            </w:pPr>
            <w:r>
              <w:t>方向（正/负）+ 强度（百分位）+ 边际变化（↗/↘/—）</w:t>
            </w:r>
          </w:p>
        </w:tc>
        <w:tc>
          <w:tcPr>
            <w:tcW w:w="2076" w:type="dxa"/>
            <w:vAlign w:val="center"/>
          </w:tcPr>
          <w:p w14:paraId="06293561">
            <w:pPr>
              <w:jc w:val="left"/>
            </w:pPr>
            <w:r>
              <w:t>周度</w:t>
            </w:r>
          </w:p>
        </w:tc>
      </w:tr>
      <w:tr w14:paraId="2C97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84AFFF3">
            <w:pPr>
              <w:jc w:val="left"/>
            </w:pPr>
            <w:r>
              <w:t>信号相关性矩阵</w:t>
            </w:r>
          </w:p>
        </w:tc>
        <w:tc>
          <w:tcPr>
            <w:tcW w:w="2076" w:type="dxa"/>
            <w:vAlign w:val="center"/>
          </w:tcPr>
          <w:p w14:paraId="732EE753">
            <w:pPr>
              <w:jc w:val="left"/>
            </w:pPr>
            <w:r>
              <w:t>相关系数热力图</w:t>
            </w:r>
          </w:p>
        </w:tc>
        <w:tc>
          <w:tcPr>
            <w:tcW w:w="2076" w:type="dxa"/>
            <w:vAlign w:val="center"/>
          </w:tcPr>
          <w:p w14:paraId="21AD9089">
            <w:pPr>
              <w:jc w:val="left"/>
            </w:pPr>
            <w:r>
              <w:t>季度</w:t>
            </w:r>
          </w:p>
        </w:tc>
      </w:tr>
      <w:tr w14:paraId="1B0FF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906FC6C">
            <w:pPr>
              <w:jc w:val="left"/>
            </w:pPr>
            <w:r>
              <w:t>信号复核记录</w:t>
            </w:r>
          </w:p>
        </w:tc>
        <w:tc>
          <w:tcPr>
            <w:tcW w:w="2076" w:type="dxa"/>
            <w:vAlign w:val="center"/>
          </w:tcPr>
          <w:p w14:paraId="3433B2A9">
            <w:pPr>
              <w:jc w:val="left"/>
            </w:pPr>
            <w:r>
              <w:t>触发原因 + 复核结论 + 后续行动</w:t>
            </w:r>
          </w:p>
        </w:tc>
        <w:tc>
          <w:tcPr>
            <w:tcW w:w="2076" w:type="dxa"/>
            <w:vAlign w:val="center"/>
          </w:tcPr>
          <w:p w14:paraId="1E70EECC">
            <w:pPr>
              <w:jc w:val="left"/>
            </w:pPr>
            <w:r>
              <w:t>周度（触发时）</w:t>
            </w:r>
          </w:p>
        </w:tc>
      </w:tr>
      <w:tr w14:paraId="03D2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2CCCAFA">
            <w:pPr>
              <w:jc w:val="left"/>
            </w:pPr>
            <w:r>
              <w:t>不相关信号源筛选结果</w:t>
            </w:r>
          </w:p>
        </w:tc>
        <w:tc>
          <w:tcPr>
            <w:tcW w:w="2076" w:type="dxa"/>
            <w:vAlign w:val="center"/>
          </w:tcPr>
          <w:p w14:paraId="5C7D0E02">
            <w:pPr>
              <w:jc w:val="left"/>
            </w:pPr>
            <w:r>
              <w:t>10-15 个低相关信号列表 + 组合夏普估计</w:t>
            </w:r>
          </w:p>
        </w:tc>
        <w:tc>
          <w:tcPr>
            <w:tcW w:w="2076" w:type="dxa"/>
            <w:vAlign w:val="center"/>
          </w:tcPr>
          <w:p w14:paraId="10C1B7D2">
            <w:pPr>
              <w:jc w:val="left"/>
            </w:pPr>
            <w:r>
              <w:t>季度</w:t>
            </w:r>
          </w:p>
        </w:tc>
      </w:tr>
    </w:tbl>
    <w:p w14:paraId="2D55E64C">
      <w:pPr>
        <w:pStyle w:val="4"/>
      </w:pPr>
      <w:r>
        <w:rPr>
          <w:b/>
        </w:rPr>
        <w:t>数据流向：</w:t>
      </w:r>
      <w:r>
        <w:t xml:space="preserve"> Layer 3（市场定价画像）+ Layer 1（实际状态）+ Layer 2.5（枢纽变量）→ Layer 4（预期差信号方向 + 初始强度 + 复核状态 + 逻辑生命周期修正）→ </w:t>
      </w:r>
      <w:r>
        <w:rPr>
          <w:b/>
        </w:rPr>
        <w:t>Layer 4.5（三重修正 → 修正后信号强度）</w:t>
      </w:r>
      <w:r>
        <w:t xml:space="preserve"> → Layer 5（资产配置权重）</w:t>
      </w:r>
    </w:p>
    <w:p w14:paraId="025B8F3E">
      <w:pPr>
        <w:pBdr>
          <w:bottom w:val="single" w:color="auto" w:sz="8" w:space="0"/>
        </w:pBdr>
      </w:pPr>
    </w:p>
    <w:p w14:paraId="27E67CCA">
      <w:pPr>
        <w:pStyle w:val="7"/>
      </w:pPr>
      <w:r>
        <w:t>Layer 4.5：反身性与元认知层</w:t>
      </w:r>
    </w:p>
    <w:p w14:paraId="4C2EEF11">
      <w:pPr>
        <w:pStyle w:val="9"/>
      </w:pPr>
      <w:r>
        <w:t>4.5.1 设计依据</w:t>
      </w:r>
    </w:p>
    <w:p w14:paraId="7BC461B6">
      <w:pPr>
        <w:pStyle w:val="4"/>
      </w:pPr>
      <w:r>
        <w:t>当前框架的 Layer 0-4 是单向传导的：基本面 → CAI/FCI → 四象限 → 市场定价 → 预期差。这个流程隐含一个假设：</w:t>
      </w:r>
      <w:r>
        <w:rPr>
          <w:b/>
        </w:rPr>
        <w:t>市场参与者观察市场，其行为不改变市场本身。</w:t>
      </w:r>
    </w:p>
    <w:p w14:paraId="5C793E97">
      <w:pPr>
        <w:pStyle w:val="4"/>
      </w:pPr>
      <w:r>
        <w:t>索罗斯的反身性理论提醒我们：</w:t>
      </w:r>
      <w:r>
        <w:rPr>
          <w:b/>
        </w:rPr>
        <w:t>市场参与者的行为本身也改变市场。</w:t>
      </w:r>
      <w:r>
        <w:t xml:space="preserve"> 当越来越多资金采用相似的宏观分析框架和信号时，这些信号本身可能改变市场的运行方式——形成预判的自我实现或自我否定。</w:t>
      </w:r>
    </w:p>
    <w:p w14:paraId="5FC978DD">
      <w:pPr>
        <w:pStyle w:val="4"/>
      </w:pPr>
      <w:r>
        <w:t>本层不是取代现有框架，而是为它装上一层"元认知"——回答一个前置问题：</w:t>
      </w:r>
      <w:r>
        <w:rPr>
          <w:b/>
        </w:rPr>
        <w:t>"当前框架的信号是否仍然可靠？"</w:t>
      </w:r>
      <w:r>
        <w:t xml:space="preserve"> 它是框架的"观察大脑"，为"执行大脑"（Layer 0-5）保驾护航。</w:t>
      </w:r>
    </w:p>
    <w:p w14:paraId="08557CB8">
      <w:pPr>
        <w:pStyle w:val="4"/>
      </w:pPr>
      <w:r>
        <w:rPr>
          <w:b/>
        </w:rPr>
        <w:t>三层元认知功能：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376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F537888">
            <w:pPr>
              <w:jc w:val="left"/>
            </w:pPr>
            <w:r>
              <w:t>功能</w:t>
            </w:r>
          </w:p>
        </w:tc>
        <w:tc>
          <w:tcPr>
            <w:tcW w:w="2768" w:type="dxa"/>
            <w:vAlign w:val="center"/>
          </w:tcPr>
          <w:p w14:paraId="53EED197">
            <w:pPr>
              <w:jc w:val="left"/>
            </w:pPr>
            <w:r>
              <w:t>解决的问题</w:t>
            </w:r>
          </w:p>
        </w:tc>
        <w:tc>
          <w:tcPr>
            <w:tcW w:w="2768" w:type="dxa"/>
            <w:vAlign w:val="center"/>
          </w:tcPr>
          <w:p w14:paraId="01135C9F">
            <w:pPr>
              <w:jc w:val="left"/>
            </w:pPr>
            <w:r>
              <w:t>对应模块</w:t>
            </w:r>
          </w:p>
        </w:tc>
      </w:tr>
      <w:tr w14:paraId="2BB4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08493A0">
            <w:pPr>
              <w:jc w:val="left"/>
            </w:pPr>
            <w:r>
              <w:rPr>
                <w:b/>
              </w:rPr>
              <w:t>反身性压力计</w:t>
            </w:r>
          </w:p>
        </w:tc>
        <w:tc>
          <w:tcPr>
            <w:tcW w:w="2768" w:type="dxa"/>
            <w:vAlign w:val="center"/>
          </w:tcPr>
          <w:p w14:paraId="2A2D9B84">
            <w:pPr>
              <w:jc w:val="left"/>
            </w:pPr>
            <w:r>
              <w:t>信号本身是否因共识拥挤而失效？</w:t>
            </w:r>
          </w:p>
        </w:tc>
        <w:tc>
          <w:tcPr>
            <w:tcW w:w="2768" w:type="dxa"/>
            <w:vAlign w:val="center"/>
          </w:tcPr>
          <w:p w14:paraId="6494F836">
            <w:pPr>
              <w:jc w:val="left"/>
            </w:pPr>
            <w:r>
              <w:t>4.5.2</w:t>
            </w:r>
          </w:p>
        </w:tc>
      </w:tr>
      <w:tr w14:paraId="264A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68D84C9">
            <w:pPr>
              <w:jc w:val="left"/>
            </w:pPr>
            <w:r>
              <w:rPr>
                <w:b/>
              </w:rPr>
              <w:t>范式稳定性监测</w:t>
            </w:r>
          </w:p>
        </w:tc>
        <w:tc>
          <w:tcPr>
            <w:tcW w:w="2768" w:type="dxa"/>
            <w:vAlign w:val="center"/>
          </w:tcPr>
          <w:p w14:paraId="12FD3CAE">
            <w:pPr>
              <w:jc w:val="left"/>
            </w:pPr>
            <w:r>
              <w:t>当前环境是否仍在框架公理的适用范围内？</w:t>
            </w:r>
          </w:p>
        </w:tc>
        <w:tc>
          <w:tcPr>
            <w:tcW w:w="2768" w:type="dxa"/>
            <w:vAlign w:val="center"/>
          </w:tcPr>
          <w:p w14:paraId="08880467">
            <w:pPr>
              <w:jc w:val="left"/>
            </w:pPr>
            <w:r>
              <w:t>4.5.3</w:t>
            </w:r>
          </w:p>
        </w:tc>
      </w:tr>
      <w:tr w14:paraId="4B21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75BEC60">
            <w:pPr>
              <w:jc w:val="left"/>
            </w:pPr>
            <w:r>
              <w:rPr>
                <w:b/>
              </w:rPr>
              <w:t>人类最终裁决接口</w:t>
            </w:r>
          </w:p>
        </w:tc>
        <w:tc>
          <w:tcPr>
            <w:tcW w:w="2768" w:type="dxa"/>
            <w:vAlign w:val="center"/>
          </w:tcPr>
          <w:p w14:paraId="5DF7E63F">
            <w:pPr>
              <w:jc w:val="left"/>
            </w:pPr>
            <w:r>
              <w:t>当系统自检机制被触发时，谁来拍板？</w:t>
            </w:r>
          </w:p>
        </w:tc>
        <w:tc>
          <w:tcPr>
            <w:tcW w:w="2768" w:type="dxa"/>
            <w:vAlign w:val="center"/>
          </w:tcPr>
          <w:p w14:paraId="7B8DDE9F">
            <w:pPr>
              <w:jc w:val="left"/>
            </w:pPr>
            <w:r>
              <w:t>4.5.4</w:t>
            </w:r>
          </w:p>
        </w:tc>
      </w:tr>
    </w:tbl>
    <w:p w14:paraId="5E1793DE">
      <w:pPr>
        <w:pBdr>
          <w:bottom w:val="single" w:color="auto" w:sz="8" w:space="0"/>
        </w:pBdr>
      </w:pPr>
    </w:p>
    <w:p w14:paraId="081EC021">
      <w:pPr>
        <w:pStyle w:val="9"/>
      </w:pPr>
      <w:r>
        <w:t>4.5.2 反身性压力计</w:t>
      </w:r>
    </w:p>
    <w:p w14:paraId="6F2BB115">
      <w:pPr>
        <w:pStyle w:val="4"/>
      </w:pPr>
      <w:r>
        <w:t>反身性压力计是本层的核心工具，监测"共识的拥挤程度"，在大众同向共振时自动降低信号的执行力度。</w:t>
      </w:r>
    </w:p>
    <w:p w14:paraId="1FD2BCC4">
      <w:pPr>
        <w:pStyle w:val="4"/>
      </w:pPr>
      <w:r>
        <w:rPr>
          <w:b/>
        </w:rPr>
        <w:t>四大压力指标：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68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47FE8C4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2818DE79">
            <w:pPr>
              <w:jc w:val="left"/>
            </w:pPr>
            <w:r>
              <w:t>计算方式</w:t>
            </w:r>
          </w:p>
        </w:tc>
        <w:tc>
          <w:tcPr>
            <w:tcW w:w="1661" w:type="dxa"/>
            <w:vAlign w:val="center"/>
          </w:tcPr>
          <w:p w14:paraId="4E49C78D">
            <w:pPr>
              <w:jc w:val="left"/>
            </w:pPr>
            <w:r>
              <w:t>预警阈值</w:t>
            </w:r>
          </w:p>
        </w:tc>
        <w:tc>
          <w:tcPr>
            <w:tcW w:w="1661" w:type="dxa"/>
            <w:vAlign w:val="center"/>
          </w:tcPr>
          <w:p w14:paraId="67A05BE2">
            <w:pPr>
              <w:jc w:val="left"/>
            </w:pPr>
            <w:r>
              <w:t>极端阈值</w:t>
            </w:r>
          </w:p>
        </w:tc>
        <w:tc>
          <w:tcPr>
            <w:tcW w:w="1661" w:type="dxa"/>
            <w:vAlign w:val="center"/>
          </w:tcPr>
          <w:p w14:paraId="4F881A6F">
            <w:pPr>
              <w:jc w:val="left"/>
            </w:pPr>
            <w:r>
              <w:t>信号含义</w:t>
            </w:r>
          </w:p>
        </w:tc>
      </w:tr>
      <w:tr w14:paraId="3C21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76ACF66">
            <w:pPr>
              <w:jc w:val="left"/>
            </w:pPr>
            <w:r>
              <w:rPr>
                <w:b/>
              </w:rPr>
              <w:t>信号拥挤度</w:t>
            </w:r>
          </w:p>
        </w:tc>
        <w:tc>
          <w:tcPr>
            <w:tcW w:w="1661" w:type="dxa"/>
            <w:vAlign w:val="center"/>
          </w:tcPr>
          <w:p w14:paraId="011F2AD0">
            <w:pPr>
              <w:jc w:val="left"/>
            </w:pPr>
            <w:r>
              <w:t>采用与框架同方向的策略资金规模 / 市场总容量（以 CFTC 非商业持仓 + ETF 资金流 + 北向资金综合估算）</w:t>
            </w:r>
          </w:p>
        </w:tc>
        <w:tc>
          <w:tcPr>
            <w:tcW w:w="1661" w:type="dxa"/>
            <w:vAlign w:val="center"/>
          </w:tcPr>
          <w:p w14:paraId="57F5E05D">
            <w:pPr>
              <w:jc w:val="left"/>
            </w:pPr>
            <w:r>
              <w:t>&gt; 50%</w:t>
            </w:r>
          </w:p>
        </w:tc>
        <w:tc>
          <w:tcPr>
            <w:tcW w:w="1661" w:type="dxa"/>
            <w:vAlign w:val="center"/>
          </w:tcPr>
          <w:p w14:paraId="673E32E3">
            <w:pPr>
              <w:jc w:val="left"/>
            </w:pPr>
            <w:r>
              <w:t>&gt; 70%</w:t>
            </w:r>
          </w:p>
        </w:tc>
        <w:tc>
          <w:tcPr>
            <w:tcW w:w="1661" w:type="dxa"/>
            <w:vAlign w:val="center"/>
          </w:tcPr>
          <w:p w14:paraId="21497907">
            <w:pPr>
              <w:jc w:val="left"/>
            </w:pPr>
            <w:r>
              <w:t>共识交易占比过高，Alpha 消失</w:t>
            </w:r>
          </w:p>
        </w:tc>
      </w:tr>
      <w:tr w14:paraId="4178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8FBB59">
            <w:pPr>
              <w:jc w:val="left"/>
            </w:pPr>
            <w:r>
              <w:rPr>
                <w:b/>
              </w:rPr>
              <w:t>仓位集中度</w:t>
            </w:r>
          </w:p>
        </w:tc>
        <w:tc>
          <w:tcPr>
            <w:tcW w:w="1661" w:type="dxa"/>
            <w:vAlign w:val="center"/>
          </w:tcPr>
          <w:p w14:paraId="7990DE28">
            <w:pPr>
              <w:jc w:val="left"/>
            </w:pPr>
            <w:r>
              <w:t>CFTC 非商业净头寸 z-score（5 年滚动）</w:t>
            </w:r>
          </w:p>
        </w:tc>
        <w:tc>
          <w:tcPr>
            <w:tcW w:w="1661" w:type="dxa"/>
            <w:vAlign w:val="center"/>
          </w:tcPr>
          <w:p w14:paraId="4A71D6E8">
            <w:pPr>
              <w:jc w:val="left"/>
            </w:pPr>
            <w:r>
              <w:t>|z| &gt; 1.5</w:t>
            </w:r>
          </w:p>
        </w:tc>
        <w:tc>
          <w:tcPr>
            <w:tcW w:w="1661" w:type="dxa"/>
            <w:vAlign w:val="center"/>
          </w:tcPr>
          <w:p w14:paraId="4DF58689">
            <w:pPr>
              <w:jc w:val="left"/>
            </w:pPr>
            <w:r>
              <w:t>|z| &gt; 2.5</w:t>
            </w:r>
          </w:p>
        </w:tc>
        <w:tc>
          <w:tcPr>
            <w:tcW w:w="1661" w:type="dxa"/>
            <w:vAlign w:val="center"/>
          </w:tcPr>
          <w:p w14:paraId="2B4BD2AD">
            <w:pPr>
              <w:jc w:val="left"/>
            </w:pPr>
            <w:r>
              <w:t>极端持仓，反身性风险高</w:t>
            </w:r>
          </w:p>
        </w:tc>
      </w:tr>
      <w:tr w14:paraId="7CF79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BD70FB1">
            <w:pPr>
              <w:jc w:val="left"/>
            </w:pPr>
            <w:r>
              <w:rPr>
                <w:b/>
              </w:rPr>
              <w:t>信号自我实现指数</w:t>
            </w:r>
          </w:p>
        </w:tc>
        <w:tc>
          <w:tcPr>
            <w:tcW w:w="1661" w:type="dxa"/>
            <w:vAlign w:val="center"/>
          </w:tcPr>
          <w:p w14:paraId="3A847902">
            <w:pPr>
              <w:jc w:val="left"/>
            </w:pPr>
            <w:r>
              <w:t>信号发布后价格变动中"预期驱动"占比 = （价格变动幅度 − 基本面变化可解释幅度）/ 价格变动幅度</w:t>
            </w:r>
          </w:p>
        </w:tc>
        <w:tc>
          <w:tcPr>
            <w:tcW w:w="1661" w:type="dxa"/>
            <w:vAlign w:val="center"/>
          </w:tcPr>
          <w:p w14:paraId="0D34FA2B">
            <w:pPr>
              <w:jc w:val="left"/>
            </w:pPr>
            <w:r>
              <w:t>&gt; 60%</w:t>
            </w:r>
          </w:p>
        </w:tc>
        <w:tc>
          <w:tcPr>
            <w:tcW w:w="1661" w:type="dxa"/>
            <w:vAlign w:val="center"/>
          </w:tcPr>
          <w:p w14:paraId="2B46F519">
            <w:pPr>
              <w:jc w:val="left"/>
            </w:pPr>
            <w:r>
              <w:t>&gt; 80%</w:t>
            </w:r>
          </w:p>
        </w:tc>
        <w:tc>
          <w:tcPr>
            <w:tcW w:w="1661" w:type="dxa"/>
            <w:vAlign w:val="center"/>
          </w:tcPr>
          <w:p w14:paraId="4E52D910">
            <w:pPr>
              <w:jc w:val="left"/>
            </w:pPr>
            <w:r>
              <w:t>价格变动主要由预期推动而非实际变化</w:t>
            </w:r>
          </w:p>
        </w:tc>
      </w:tr>
      <w:tr w14:paraId="3958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D88DE68">
            <w:pPr>
              <w:jc w:val="left"/>
            </w:pPr>
            <w:r>
              <w:rPr>
                <w:b/>
              </w:rPr>
              <w:t>跨框架一致性</w:t>
            </w:r>
          </w:p>
        </w:tc>
        <w:tc>
          <w:tcPr>
            <w:tcW w:w="1661" w:type="dxa"/>
            <w:vAlign w:val="center"/>
          </w:tcPr>
          <w:p w14:paraId="600AD941">
            <w:pPr>
              <w:jc w:val="left"/>
            </w:pPr>
            <w:r>
              <w:t>主流卖方/买方策略报告与框架信号的吻合度（抽样统计前 10 大卖方 + 前 5 大买方）</w:t>
            </w:r>
          </w:p>
        </w:tc>
        <w:tc>
          <w:tcPr>
            <w:tcW w:w="1661" w:type="dxa"/>
            <w:vAlign w:val="center"/>
          </w:tcPr>
          <w:p w14:paraId="6DDD3D3A">
            <w:pPr>
              <w:jc w:val="left"/>
            </w:pPr>
            <w:r>
              <w:t>&gt; 70%</w:t>
            </w:r>
          </w:p>
        </w:tc>
        <w:tc>
          <w:tcPr>
            <w:tcW w:w="1661" w:type="dxa"/>
            <w:vAlign w:val="center"/>
          </w:tcPr>
          <w:p w14:paraId="08E84986">
            <w:pPr>
              <w:jc w:val="left"/>
            </w:pPr>
            <w:r>
              <w:t>&gt; 90%</w:t>
            </w:r>
          </w:p>
        </w:tc>
        <w:tc>
          <w:tcPr>
            <w:tcW w:w="1661" w:type="dxa"/>
            <w:vAlign w:val="center"/>
          </w:tcPr>
          <w:p w14:paraId="4D0A9F64">
            <w:pPr>
              <w:jc w:val="left"/>
            </w:pPr>
            <w:r>
              <w:t>太多人看到同样的信号</w:t>
            </w:r>
          </w:p>
        </w:tc>
      </w:tr>
    </w:tbl>
    <w:p w14:paraId="5BA3C6D8">
      <w:pPr>
        <w:pStyle w:val="4"/>
      </w:pPr>
      <w:r>
        <w:rPr>
          <w:b/>
        </w:rPr>
        <w:t>压力计合成：</w:t>
      </w:r>
    </w:p>
    <w:p w14:paraId="18FFB800">
      <w:pPr>
        <w:pStyle w:val="4"/>
      </w:pPr>
      <w:r>
        <w:t>反身性压力综合得分 = 信号拥挤度得分（0-25）+ 仓位集中度得分（0-25）+ 自我实现指数得分（0-25）+ 跨框架一致性得分（0-25），满分 100 分。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111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74B1E82">
            <w:pPr>
              <w:jc w:val="left"/>
            </w:pPr>
            <w:r>
              <w:t>综合得分区间</w:t>
            </w:r>
          </w:p>
        </w:tc>
        <w:tc>
          <w:tcPr>
            <w:tcW w:w="2768" w:type="dxa"/>
            <w:vAlign w:val="center"/>
          </w:tcPr>
          <w:p w14:paraId="07A35300">
            <w:pPr>
              <w:jc w:val="left"/>
            </w:pPr>
            <w:r>
              <w:t>压力等级</w:t>
            </w:r>
          </w:p>
        </w:tc>
        <w:tc>
          <w:tcPr>
            <w:tcW w:w="2768" w:type="dxa"/>
            <w:vAlign w:val="center"/>
          </w:tcPr>
          <w:p w14:paraId="4ED1EA9D">
            <w:pPr>
              <w:jc w:val="left"/>
            </w:pPr>
            <w:r>
              <w:t>对 Layer 5 执行的影响</w:t>
            </w:r>
          </w:p>
        </w:tc>
      </w:tr>
      <w:tr w14:paraId="477E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A326E2">
            <w:pPr>
              <w:jc w:val="left"/>
            </w:pPr>
            <w:r>
              <w:t>0-30</w:t>
            </w:r>
          </w:p>
        </w:tc>
        <w:tc>
          <w:tcPr>
            <w:tcW w:w="2768" w:type="dxa"/>
            <w:vAlign w:val="center"/>
          </w:tcPr>
          <w:p w14:paraId="335440B7">
            <w:pPr>
              <w:jc w:val="left"/>
            </w:pPr>
            <w:r>
              <w:t>绿色（低压力）</w:t>
            </w:r>
          </w:p>
        </w:tc>
        <w:tc>
          <w:tcPr>
            <w:tcW w:w="2768" w:type="dxa"/>
            <w:vAlign w:val="center"/>
          </w:tcPr>
          <w:p w14:paraId="7B417FBB">
            <w:pPr>
              <w:jc w:val="left"/>
            </w:pPr>
            <w:r>
              <w:t>正常执行，信号强度不修正</w:t>
            </w:r>
          </w:p>
        </w:tc>
      </w:tr>
      <w:tr w14:paraId="0744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99B9E69">
            <w:pPr>
              <w:jc w:val="left"/>
            </w:pPr>
            <w:r>
              <w:t>30-50</w:t>
            </w:r>
          </w:p>
        </w:tc>
        <w:tc>
          <w:tcPr>
            <w:tcW w:w="2768" w:type="dxa"/>
            <w:vAlign w:val="center"/>
          </w:tcPr>
          <w:p w14:paraId="1DDB32BA">
            <w:pPr>
              <w:jc w:val="left"/>
            </w:pPr>
            <w:r>
              <w:t>黄色（中压力）</w:t>
            </w:r>
          </w:p>
        </w:tc>
        <w:tc>
          <w:tcPr>
            <w:tcW w:w="2768" w:type="dxa"/>
            <w:vAlign w:val="center"/>
          </w:tcPr>
          <w:p w14:paraId="6CCB5E8B">
            <w:pPr>
              <w:jc w:val="left"/>
            </w:pPr>
            <w:r>
              <w:t xml:space="preserve">Alpha 偏离执行力度降至 </w:t>
            </w:r>
            <w:r>
              <w:rPr>
                <w:b/>
              </w:rPr>
              <w:t>75%</w:t>
            </w:r>
          </w:p>
        </w:tc>
      </w:tr>
      <w:tr w14:paraId="2853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5464BF6">
            <w:pPr>
              <w:jc w:val="left"/>
            </w:pPr>
            <w:r>
              <w:t>50-70</w:t>
            </w:r>
          </w:p>
        </w:tc>
        <w:tc>
          <w:tcPr>
            <w:tcW w:w="2768" w:type="dxa"/>
            <w:vAlign w:val="center"/>
          </w:tcPr>
          <w:p w14:paraId="3F59C4D2">
            <w:pPr>
              <w:jc w:val="left"/>
            </w:pPr>
            <w:r>
              <w:t>橙色（高压力）</w:t>
            </w:r>
          </w:p>
        </w:tc>
        <w:tc>
          <w:tcPr>
            <w:tcW w:w="2768" w:type="dxa"/>
            <w:vAlign w:val="center"/>
          </w:tcPr>
          <w:p w14:paraId="15A31BDD">
            <w:pPr>
              <w:jc w:val="left"/>
            </w:pPr>
            <w:r>
              <w:t xml:space="preserve">Alpha 偏离执行力度降至 </w:t>
            </w:r>
            <w:r>
              <w:rPr>
                <w:b/>
              </w:rPr>
              <w:t>50%</w:t>
            </w:r>
            <w:r>
              <w:t>，触发人工复核</w:t>
            </w:r>
          </w:p>
        </w:tc>
      </w:tr>
      <w:tr w14:paraId="478E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6085E0B">
            <w:pPr>
              <w:jc w:val="left"/>
            </w:pPr>
            <w:r>
              <w:t>70-100</w:t>
            </w:r>
          </w:p>
        </w:tc>
        <w:tc>
          <w:tcPr>
            <w:tcW w:w="2768" w:type="dxa"/>
            <w:vAlign w:val="center"/>
          </w:tcPr>
          <w:p w14:paraId="257BE2E0">
            <w:pPr>
              <w:jc w:val="left"/>
            </w:pPr>
            <w:r>
              <w:t>红色（极高压）</w:t>
            </w:r>
          </w:p>
        </w:tc>
        <w:tc>
          <w:tcPr>
            <w:tcW w:w="2768" w:type="dxa"/>
            <w:vAlign w:val="center"/>
          </w:tcPr>
          <w:p w14:paraId="79372270">
            <w:pPr>
              <w:jc w:val="left"/>
            </w:pPr>
            <w:r>
              <w:t xml:space="preserve">Alpha 偏离执行力度降至 </w:t>
            </w:r>
            <w:r>
              <w:rPr>
                <w:b/>
              </w:rPr>
              <w:t>25%</w:t>
            </w:r>
            <w:r>
              <w:t>，强制触发人类裁决接口（4.5.4）</w:t>
            </w:r>
          </w:p>
        </w:tc>
      </w:tr>
    </w:tbl>
    <w:p w14:paraId="298C7E7F">
      <w:pPr>
        <w:pStyle w:val="4"/>
      </w:pPr>
      <w:r>
        <w:rPr>
          <w:b/>
        </w:rPr>
        <w:t>更新频率：</w:t>
      </w:r>
      <w:r>
        <w:t xml:space="preserve"> 周度更新。红色状态时转为日度更新。</w:t>
      </w:r>
    </w:p>
    <w:p w14:paraId="1EADACB4">
      <w:pPr>
        <w:pBdr>
          <w:bottom w:val="single" w:color="auto" w:sz="8" w:space="0"/>
        </w:pBdr>
      </w:pPr>
    </w:p>
    <w:p w14:paraId="6CB0139D">
      <w:pPr>
        <w:pStyle w:val="9"/>
      </w:pPr>
      <w:r>
        <w:t>4.5.3 范式稳定性监测</w:t>
      </w:r>
    </w:p>
    <w:p w14:paraId="491A2524">
      <w:pPr>
        <w:pStyle w:val="4"/>
      </w:pPr>
      <w:r>
        <w:t>反身性压力计处理的是"常规范式内的共识拥挤"。范式稳定性监测处理的是更深层的问题：</w:t>
      </w:r>
      <w:r>
        <w:rPr>
          <w:b/>
        </w:rPr>
        <w:t>当前环境是否仍在框架公理的适用范围内？</w:t>
      </w:r>
    </w:p>
    <w:p w14:paraId="653244BB">
      <w:pPr>
        <w:pStyle w:val="4"/>
      </w:pPr>
      <w:r>
        <w:rPr>
          <w:b/>
        </w:rPr>
        <w:t>三大范式稳定性代理指标：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A9A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13B1E86">
            <w:pPr>
              <w:jc w:val="left"/>
            </w:pPr>
            <w:r>
              <w:t>代理指标</w:t>
            </w:r>
          </w:p>
        </w:tc>
        <w:tc>
          <w:tcPr>
            <w:tcW w:w="2076" w:type="dxa"/>
            <w:vAlign w:val="center"/>
          </w:tcPr>
          <w:p w14:paraId="05E96243">
            <w:pPr>
              <w:jc w:val="left"/>
            </w:pPr>
            <w:r>
              <w:t>监测方法</w:t>
            </w:r>
          </w:p>
        </w:tc>
        <w:tc>
          <w:tcPr>
            <w:tcW w:w="2076" w:type="dxa"/>
            <w:vAlign w:val="center"/>
          </w:tcPr>
          <w:p w14:paraId="343F01D3">
            <w:pPr>
              <w:jc w:val="left"/>
            </w:pPr>
            <w:r>
              <w:t>预警条件</w:t>
            </w:r>
          </w:p>
        </w:tc>
        <w:tc>
          <w:tcPr>
            <w:tcW w:w="2076" w:type="dxa"/>
            <w:vAlign w:val="center"/>
          </w:tcPr>
          <w:p w14:paraId="037683A0">
            <w:pPr>
              <w:jc w:val="left"/>
            </w:pPr>
            <w:r>
              <w:t>信号含义</w:t>
            </w:r>
          </w:p>
        </w:tc>
      </w:tr>
      <w:tr w14:paraId="231E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2DBD89">
            <w:pPr>
              <w:jc w:val="left"/>
            </w:pPr>
            <w:r>
              <w:rPr>
                <w:b/>
              </w:rPr>
              <w:t>跨资产相关性结构断裂</w:t>
            </w:r>
          </w:p>
        </w:tc>
        <w:tc>
          <w:tcPr>
            <w:tcW w:w="2076" w:type="dxa"/>
            <w:vAlign w:val="center"/>
          </w:tcPr>
          <w:p w14:paraId="696CAED2">
            <w:pPr>
              <w:jc w:val="left"/>
            </w:pPr>
            <w:r>
              <w:t>计算铜金比与 PMI、利差与增长、ERP 与增长等 6 对核心相关性的 5 年滚动相关系数；当任一相关性在 6 个月内从 |ρ| &gt; 0.6 降至 |ρ| &lt; 0.2</w:t>
            </w:r>
          </w:p>
        </w:tc>
        <w:tc>
          <w:tcPr>
            <w:tcW w:w="2076" w:type="dxa"/>
            <w:vAlign w:val="center"/>
          </w:tcPr>
          <w:p w14:paraId="19A13887">
            <w:pPr>
              <w:jc w:val="left"/>
            </w:pPr>
            <w:r>
              <w:t>≥ 2 对相关性同时断裂</w:t>
            </w:r>
          </w:p>
        </w:tc>
        <w:tc>
          <w:tcPr>
            <w:tcW w:w="2076" w:type="dxa"/>
            <w:vAlign w:val="center"/>
          </w:tcPr>
          <w:p w14:paraId="4C555FE2">
            <w:pPr>
              <w:jc w:val="left"/>
            </w:pPr>
            <w:r>
              <w:t>历史定价关系失效，框架的统计基础动摇</w:t>
            </w:r>
          </w:p>
        </w:tc>
      </w:tr>
      <w:tr w14:paraId="16FF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795C8B6">
            <w:pPr>
              <w:jc w:val="left"/>
            </w:pPr>
            <w:r>
              <w:rPr>
                <w:b/>
              </w:rPr>
              <w:t>政策框架措辞质变</w:t>
            </w:r>
          </w:p>
        </w:tc>
        <w:tc>
          <w:tcPr>
            <w:tcW w:w="2076" w:type="dxa"/>
            <w:vAlign w:val="center"/>
          </w:tcPr>
          <w:p w14:paraId="0E9FABE2">
            <w:pPr>
              <w:jc w:val="left"/>
            </w:pPr>
            <w:r>
              <w:t>追踪美联储/央行政策框架的措辞变化，区分"边际调整"（已有 4.4.7 覆盖）与"根本性重新定义"（如通胀目标制→平均通胀目标制、央行直接购买股票/ETF、收益率曲线控制）</w:t>
            </w:r>
          </w:p>
        </w:tc>
        <w:tc>
          <w:tcPr>
            <w:tcW w:w="2076" w:type="dxa"/>
            <w:vAlign w:val="center"/>
          </w:tcPr>
          <w:p w14:paraId="403AA4CD">
            <w:pPr>
              <w:jc w:val="left"/>
            </w:pPr>
            <w:r>
              <w:t>政策框架出现质变</w:t>
            </w:r>
          </w:p>
        </w:tc>
        <w:tc>
          <w:tcPr>
            <w:tcW w:w="2076" w:type="dxa"/>
            <w:vAlign w:val="center"/>
          </w:tcPr>
          <w:p w14:paraId="40591EA0">
            <w:pPr>
              <w:jc w:val="left"/>
            </w:pPr>
            <w:r>
              <w:t>公理 3（全球传导公理）的前提条件可能不再成立</w:t>
            </w:r>
          </w:p>
        </w:tc>
      </w:tr>
      <w:tr w14:paraId="6BED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F8C1577">
            <w:pPr>
              <w:jc w:val="left"/>
            </w:pPr>
            <w:r>
              <w:rPr>
                <w:b/>
              </w:rPr>
              <w:t>全球资本流动结构突变</w:t>
            </w:r>
          </w:p>
        </w:tc>
        <w:tc>
          <w:tcPr>
            <w:tcW w:w="2076" w:type="dxa"/>
            <w:vAlign w:val="center"/>
          </w:tcPr>
          <w:p w14:paraId="1A23EF6F">
            <w:pPr>
              <w:jc w:val="left"/>
            </w:pPr>
            <w:r>
              <w:t>追踪跨境资本流向与 5 年历史模式（BIS/TIC 数据）的背离程度，做 5 年滚动 z-score</w:t>
            </w:r>
          </w:p>
        </w:tc>
        <w:tc>
          <w:tcPr>
            <w:tcW w:w="2076" w:type="dxa"/>
            <w:vAlign w:val="center"/>
          </w:tcPr>
          <w:p w14:paraId="550C4797">
            <w:pPr>
              <w:jc w:val="left"/>
            </w:pPr>
            <w:r>
              <w:t>背离持续 3 个月以上且 |z| &gt; 2.0</w:t>
            </w:r>
          </w:p>
        </w:tc>
        <w:tc>
          <w:tcPr>
            <w:tcW w:w="2076" w:type="dxa"/>
            <w:vAlign w:val="center"/>
          </w:tcPr>
          <w:p w14:paraId="77ABDC3D">
            <w:pPr>
              <w:jc w:val="left"/>
            </w:pPr>
            <w:r>
              <w:t>全球资本配置逻辑正在发生结构性变化</w:t>
            </w:r>
          </w:p>
        </w:tc>
      </w:tr>
    </w:tbl>
    <w:p w14:paraId="1B4EB481">
      <w:pPr>
        <w:pStyle w:val="4"/>
      </w:pPr>
      <w:r>
        <w:rPr>
          <w:b/>
        </w:rPr>
        <w:t>范式稳定性综合判定：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C36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CCFF57">
            <w:pPr>
              <w:jc w:val="left"/>
            </w:pPr>
            <w:r>
              <w:t>状态</w:t>
            </w:r>
          </w:p>
        </w:tc>
        <w:tc>
          <w:tcPr>
            <w:tcW w:w="2076" w:type="dxa"/>
            <w:vAlign w:val="center"/>
          </w:tcPr>
          <w:p w14:paraId="2792243D">
            <w:pPr>
              <w:jc w:val="left"/>
            </w:pPr>
            <w:r>
              <w:t>触发条件</w:t>
            </w:r>
          </w:p>
        </w:tc>
        <w:tc>
          <w:tcPr>
            <w:tcW w:w="2076" w:type="dxa"/>
            <w:vAlign w:val="center"/>
          </w:tcPr>
          <w:p w14:paraId="02DCB9C0">
            <w:pPr>
              <w:jc w:val="left"/>
            </w:pPr>
            <w:r>
              <w:t>对框架执行的影响</w:t>
            </w:r>
          </w:p>
        </w:tc>
        <w:tc>
          <w:tcPr>
            <w:tcW w:w="2076" w:type="dxa"/>
            <w:vAlign w:val="center"/>
          </w:tcPr>
          <w:p w14:paraId="7719C12F">
            <w:pPr>
              <w:jc w:val="left"/>
            </w:pPr>
            <w:r>
              <w:t>修正系数</w:t>
            </w:r>
          </w:p>
        </w:tc>
      </w:tr>
      <w:tr w14:paraId="0445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3ED1655">
            <w:pPr>
              <w:jc w:val="left"/>
            </w:pPr>
            <w:r>
              <w:rPr>
                <w:b/>
              </w:rPr>
              <w:t>范式稳定</w:t>
            </w:r>
          </w:p>
        </w:tc>
        <w:tc>
          <w:tcPr>
            <w:tcW w:w="2076" w:type="dxa"/>
            <w:vAlign w:val="center"/>
          </w:tcPr>
          <w:p w14:paraId="3DB02F56">
            <w:pPr>
              <w:jc w:val="left"/>
            </w:pPr>
            <w:r>
              <w:t>0 个代理指标触发</w:t>
            </w:r>
          </w:p>
        </w:tc>
        <w:tc>
          <w:tcPr>
            <w:tcW w:w="2076" w:type="dxa"/>
            <w:vAlign w:val="center"/>
          </w:tcPr>
          <w:p w14:paraId="1950C74F">
            <w:pPr>
              <w:jc w:val="left"/>
            </w:pPr>
            <w:r>
              <w:t>正常执行</w:t>
            </w:r>
          </w:p>
        </w:tc>
        <w:tc>
          <w:tcPr>
            <w:tcW w:w="2076" w:type="dxa"/>
            <w:vAlign w:val="center"/>
          </w:tcPr>
          <w:p w14:paraId="5B1CC396">
            <w:pPr>
              <w:jc w:val="left"/>
            </w:pPr>
            <w:r>
              <w:t>× 1.0</w:t>
            </w:r>
          </w:p>
        </w:tc>
      </w:tr>
      <w:tr w14:paraId="1B80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4D51686">
            <w:pPr>
              <w:jc w:val="left"/>
            </w:pPr>
            <w:r>
              <w:rPr>
                <w:b/>
              </w:rPr>
              <w:t>范式动摇</w:t>
            </w:r>
          </w:p>
        </w:tc>
        <w:tc>
          <w:tcPr>
            <w:tcW w:w="2076" w:type="dxa"/>
            <w:vAlign w:val="center"/>
          </w:tcPr>
          <w:p w14:paraId="1F31C408">
            <w:pPr>
              <w:jc w:val="left"/>
            </w:pPr>
            <w:r>
              <w:t>1 个代理指标触发</w:t>
            </w:r>
          </w:p>
        </w:tc>
        <w:tc>
          <w:tcPr>
            <w:tcW w:w="2076" w:type="dxa"/>
            <w:vAlign w:val="center"/>
          </w:tcPr>
          <w:p w14:paraId="11651422">
            <w:pPr>
              <w:jc w:val="left"/>
            </w:pPr>
            <w:r>
              <w:t>全部信号强度 × 0.7，新增投资叙事标记"范式不确定"，Alpha 偏离幅度减半</w:t>
            </w:r>
          </w:p>
        </w:tc>
        <w:tc>
          <w:tcPr>
            <w:tcW w:w="2076" w:type="dxa"/>
            <w:vAlign w:val="center"/>
          </w:tcPr>
          <w:p w14:paraId="5DBA16BC">
            <w:pPr>
              <w:jc w:val="left"/>
            </w:pPr>
            <w:r>
              <w:t>× 0.7</w:t>
            </w:r>
          </w:p>
        </w:tc>
      </w:tr>
      <w:tr w14:paraId="602C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7FF06A2">
            <w:pPr>
              <w:jc w:val="left"/>
            </w:pPr>
            <w:r>
              <w:rPr>
                <w:b/>
              </w:rPr>
              <w:t>范式转移</w:t>
            </w:r>
          </w:p>
        </w:tc>
        <w:tc>
          <w:tcPr>
            <w:tcW w:w="2076" w:type="dxa"/>
            <w:vAlign w:val="center"/>
          </w:tcPr>
          <w:p w14:paraId="168627C5">
            <w:pPr>
              <w:jc w:val="left"/>
            </w:pPr>
            <w:r>
              <w:t>≥ 2 个代理指标触发</w:t>
            </w:r>
          </w:p>
        </w:tc>
        <w:tc>
          <w:tcPr>
            <w:tcW w:w="2076" w:type="dxa"/>
            <w:vAlign w:val="center"/>
          </w:tcPr>
          <w:p w14:paraId="38CBEB7D">
            <w:pPr>
              <w:jc w:val="left"/>
            </w:pPr>
            <w:r>
              <w:rPr>
                <w:b/>
              </w:rPr>
              <w:t>框架进入"观察模式"</w:t>
            </w:r>
            <w:r>
              <w:t>：停止输出新的 Alpha 偏离信号，仅维持 Beta 基准；强制触发人类裁决接口（4.5.4）；报告开头标注"范式转移预警——框架信号可靠性下降"</w:t>
            </w:r>
          </w:p>
        </w:tc>
        <w:tc>
          <w:tcPr>
            <w:tcW w:w="2076" w:type="dxa"/>
            <w:vAlign w:val="center"/>
          </w:tcPr>
          <w:p w14:paraId="1CF21109">
            <w:pPr>
              <w:jc w:val="left"/>
            </w:pPr>
            <w:r>
              <w:t>× 0（仅 Beta）</w:t>
            </w:r>
          </w:p>
        </w:tc>
      </w:tr>
    </w:tbl>
    <w:p w14:paraId="0839564B">
      <w:pPr>
        <w:pStyle w:val="4"/>
      </w:pPr>
      <w:r>
        <w:rPr>
          <w:b/>
        </w:rPr>
        <w:t>与 4.4 异常场景的区别：</w:t>
      </w:r>
      <w:r>
        <w:t xml:space="preserve"> 4.4 处理的是"已知类型的极端事件"（VIX 飙升、流动性危机），本模块处理的是"框架适用性本身的质疑"——不是市场出了问题，而是</w:t>
      </w:r>
      <w:r>
        <w:rPr>
          <w:b/>
        </w:rPr>
        <w:t>我们理解市场的方式可能出了问题</w:t>
      </w:r>
      <w:r>
        <w:t>。</w:t>
      </w:r>
    </w:p>
    <w:p w14:paraId="5241B3A5">
      <w:pPr>
        <w:pStyle w:val="4"/>
      </w:pPr>
      <w:r>
        <w:rPr>
          <w:b/>
        </w:rPr>
        <w:t>更新频率：</w:t>
      </w:r>
      <w:r>
        <w:t xml:space="preserve"> 月度更新，触发时即时评估。</w:t>
      </w:r>
    </w:p>
    <w:p w14:paraId="2A5448B2">
      <w:pPr>
        <w:pBdr>
          <w:bottom w:val="single" w:color="auto" w:sz="8" w:space="0"/>
        </w:pBdr>
      </w:pPr>
    </w:p>
    <w:p w14:paraId="35B9AA96">
      <w:pPr>
        <w:pStyle w:val="9"/>
      </w:pPr>
      <w:r>
        <w:t>4.5.4 人类最终裁决接口</w:t>
      </w:r>
    </w:p>
    <w:p w14:paraId="00E1C218">
      <w:pPr>
        <w:pStyle w:val="4"/>
      </w:pPr>
      <w:r>
        <w:t>当反身性压力计或范式稳定性监测触发到严重程度时，不自动执行决策，而是向人类呈现观察结果，请求"最高智慧"的介入。</w:t>
      </w:r>
    </w:p>
    <w:p w14:paraId="6D0D1488">
      <w:pPr>
        <w:pStyle w:val="4"/>
      </w:pPr>
      <w:r>
        <w:rPr>
          <w:b/>
        </w:rPr>
        <w:t>触发条件（满足任一即触发）：</w:t>
      </w:r>
    </w:p>
    <w:p w14:paraId="651D3D63">
      <w:pPr>
        <w:pStyle w:val="4"/>
        <w:numPr>
          <w:ilvl w:val="0"/>
          <w:numId w:val="35"/>
        </w:numPr>
      </w:pPr>
      <w:r>
        <w:t>反身性压力综合得分 &gt; 70（红色）</w:t>
      </w:r>
    </w:p>
    <w:p w14:paraId="5928B250">
      <w:pPr>
        <w:pStyle w:val="4"/>
        <w:numPr>
          <w:ilvl w:val="0"/>
          <w:numId w:val="35"/>
        </w:numPr>
      </w:pPr>
      <w:r>
        <w:t>范式稳定性判定为"范式转移"</w:t>
      </w:r>
    </w:p>
    <w:p w14:paraId="22C922CF">
      <w:pPr>
        <w:pStyle w:val="4"/>
        <w:numPr>
          <w:ilvl w:val="0"/>
          <w:numId w:val="35"/>
        </w:numPr>
      </w:pPr>
      <w:r>
        <w:t>框架信号与 Layer 4.5 压力计方向持续冲突（连续 3 周信号方向正确但压力计维持橙色以上）</w:t>
      </w:r>
    </w:p>
    <w:p w14:paraId="69467B94">
      <w:pPr>
        <w:pStyle w:val="4"/>
      </w:pPr>
      <w:r>
        <w:rPr>
          <w:b/>
        </w:rPr>
        <w:t>触发后流程：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</w:tblGrid>
      <w:tr w14:paraId="100EA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CE185F8">
            <w:pPr>
              <w:jc w:val="left"/>
            </w:pPr>
            <w:r>
              <w:t>步骤</w:t>
            </w:r>
          </w:p>
        </w:tc>
        <w:tc>
          <w:tcPr>
            <w:tcW w:w="2768" w:type="dxa"/>
            <w:vAlign w:val="center"/>
          </w:tcPr>
          <w:p w14:paraId="4BC1BD30">
            <w:pPr>
              <w:jc w:val="left"/>
            </w:pPr>
            <w:r>
              <w:t>动作</w:t>
            </w:r>
          </w:p>
        </w:tc>
      </w:tr>
      <w:tr w14:paraId="5CC2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EB19DAE">
            <w:pPr>
              <w:jc w:val="left"/>
            </w:pPr>
            <w:r>
              <w:t>1. 自动暂停</w:t>
            </w:r>
          </w:p>
        </w:tc>
        <w:tc>
          <w:tcPr>
            <w:tcW w:w="2768" w:type="dxa"/>
            <w:vAlign w:val="center"/>
          </w:tcPr>
          <w:p w14:paraId="2B3D3F30">
            <w:pPr>
              <w:jc w:val="left"/>
            </w:pPr>
            <w:r>
              <w:t>Alpha 偏离执行力度降至 25%，新信号暂停发布</w:t>
            </w:r>
          </w:p>
        </w:tc>
      </w:tr>
      <w:tr w14:paraId="4E8C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7C67C79">
            <w:pPr>
              <w:jc w:val="left"/>
            </w:pPr>
            <w:r>
              <w:t>2. 状态呈现</w:t>
            </w:r>
          </w:p>
        </w:tc>
        <w:tc>
          <w:tcPr>
            <w:tcW w:w="2768" w:type="dxa"/>
            <w:vAlign w:val="center"/>
          </w:tcPr>
          <w:p w14:paraId="115BCD83">
            <w:pPr>
              <w:jc w:val="left"/>
            </w:pPr>
            <w:r>
              <w:t>向框架负责人呈现：当前信号、压力计读数、范式稳定性状态、历史类比（如有）</w:t>
            </w:r>
          </w:p>
        </w:tc>
      </w:tr>
      <w:tr w14:paraId="000D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15DE336">
            <w:pPr>
              <w:jc w:val="left"/>
            </w:pPr>
            <w:r>
              <w:t>3. 定性类比</w:t>
            </w:r>
          </w:p>
        </w:tc>
        <w:tc>
          <w:tcPr>
            <w:tcW w:w="2768" w:type="dxa"/>
            <w:vAlign w:val="center"/>
          </w:tcPr>
          <w:p w14:paraId="5CF236EF">
            <w:pPr>
              <w:jc w:val="left"/>
            </w:pPr>
            <w:r>
              <w:t>面对从未见过的冲击时，不强行量化，通过历史定性类比判断风险性质（参考案例库中的模式匹配）</w:t>
            </w:r>
          </w:p>
        </w:tc>
      </w:tr>
      <w:tr w14:paraId="3B8C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5E92F41">
            <w:pPr>
              <w:jc w:val="left"/>
            </w:pPr>
            <w:r>
              <w:t>4. 人类裁决</w:t>
            </w:r>
          </w:p>
        </w:tc>
        <w:tc>
          <w:tcPr>
            <w:tcW w:w="2768" w:type="dxa"/>
            <w:vAlign w:val="center"/>
          </w:tcPr>
          <w:p w14:paraId="07A61C49">
            <w:pPr>
              <w:jc w:val="left"/>
            </w:pPr>
            <w:r>
              <w:t>框架负责人做出决策：①恢复执行 ②维持观察模式 ③手动调整信号方向</w:t>
            </w:r>
          </w:p>
        </w:tc>
      </w:tr>
      <w:tr w14:paraId="4CAB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E27E08B">
            <w:pPr>
              <w:jc w:val="left"/>
            </w:pPr>
            <w:r>
              <w:t>5. 记录归档</w:t>
            </w:r>
          </w:p>
        </w:tc>
        <w:tc>
          <w:tcPr>
            <w:tcW w:w="2768" w:type="dxa"/>
            <w:vAlign w:val="center"/>
          </w:tcPr>
          <w:p w14:paraId="50F8E795">
            <w:pPr>
              <w:jc w:val="left"/>
            </w:pPr>
            <w:r>
              <w:t>裁决过程与结论完整记录，纳入框架迭代素材</w:t>
            </w:r>
          </w:p>
        </w:tc>
      </w:tr>
    </w:tbl>
    <w:p w14:paraId="2CCFB05D">
      <w:pPr>
        <w:pStyle w:val="4"/>
      </w:pPr>
      <w:r>
        <w:rPr>
          <w:b/>
        </w:rPr>
        <w:t>关键原则：</w:t>
      </w:r>
      <w:r>
        <w:t xml:space="preserve"> 人类裁决接口不是否定框架，而是在框架信号可靠性下降时的安全网。它确保"最高智慧"在关键时刻介入，而非让系统在不确定环境中自行决策。</w:t>
      </w:r>
    </w:p>
    <w:p w14:paraId="35CAD3EF">
      <w:pPr>
        <w:pBdr>
          <w:bottom w:val="single" w:color="auto" w:sz="8" w:space="0"/>
        </w:pBdr>
      </w:pPr>
    </w:p>
    <w:p w14:paraId="1D83E1C1">
      <w:pPr>
        <w:pStyle w:val="9"/>
      </w:pPr>
      <w:r>
        <w:t>4.5.5 信号修正合成规则</w:t>
      </w:r>
    </w:p>
    <w:p w14:paraId="3C133B25">
      <w:pPr>
        <w:pStyle w:val="4"/>
      </w:pPr>
      <w:r>
        <w:t>Layer 4 输出的初始信号强度，需经 Layer 4.5 三重修正后，方可传入 Layer 5：</w:t>
      </w:r>
    </w:p>
    <w:p w14:paraId="20E04376">
      <w:pPr>
        <w:pStyle w:val="4"/>
      </w:pPr>
      <w:r>
        <w:rPr>
          <w:b/>
        </w:rPr>
        <w:t>最终信号强度 = Layer 4 初始强度 × 逻辑生命周期修正系数（4.6.3）× 反身性压力修正系数（4.5.2）× 范式稳定性修正系数（4.5.3）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0551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4861D25A">
            <w:pPr>
              <w:jc w:val="left"/>
            </w:pPr>
            <w:r>
              <w:t>修正来源</w:t>
            </w:r>
          </w:p>
        </w:tc>
        <w:tc>
          <w:tcPr>
            <w:tcW w:w="4153" w:type="dxa"/>
            <w:vAlign w:val="center"/>
          </w:tcPr>
          <w:p w14:paraId="79A68738">
            <w:pPr>
              <w:jc w:val="left"/>
            </w:pPr>
            <w:r>
              <w:t>修正系数取值</w:t>
            </w:r>
          </w:p>
        </w:tc>
      </w:tr>
      <w:tr w14:paraId="002F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675204C">
            <w:pPr>
              <w:jc w:val="left"/>
            </w:pPr>
            <w:r>
              <w:t>逻辑生命周期（4.6.3）</w:t>
            </w:r>
          </w:p>
        </w:tc>
        <w:tc>
          <w:tcPr>
            <w:tcW w:w="4153" w:type="dxa"/>
            <w:vAlign w:val="center"/>
          </w:tcPr>
          <w:p w14:paraId="7BD9EBC6">
            <w:pPr>
              <w:jc w:val="left"/>
            </w:pPr>
            <w:r>
              <w:t>萌芽期 1.0 / 扩散期 0.9 / 共识期 0.6 / 透支期 0.3 / 崩塌期 0</w:t>
            </w:r>
          </w:p>
        </w:tc>
      </w:tr>
      <w:tr w14:paraId="2C71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E7DD0CC">
            <w:pPr>
              <w:jc w:val="left"/>
            </w:pPr>
            <w:r>
              <w:t>反身性压力（4.5.2）</w:t>
            </w:r>
          </w:p>
        </w:tc>
        <w:tc>
          <w:tcPr>
            <w:tcW w:w="4153" w:type="dxa"/>
            <w:vAlign w:val="center"/>
          </w:tcPr>
          <w:p w14:paraId="4702FEFA">
            <w:pPr>
              <w:jc w:val="left"/>
            </w:pPr>
            <w:r>
              <w:t>绿色 1.0 / 黄色 0.75 / 橙色 0.50 / 红色 0.25</w:t>
            </w:r>
          </w:p>
        </w:tc>
      </w:tr>
      <w:tr w14:paraId="5D63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3559CBDB">
            <w:pPr>
              <w:jc w:val="left"/>
            </w:pPr>
            <w:r>
              <w:t>范式稳定性（4.5.3）</w:t>
            </w:r>
          </w:p>
        </w:tc>
        <w:tc>
          <w:tcPr>
            <w:tcW w:w="4153" w:type="dxa"/>
            <w:vAlign w:val="center"/>
          </w:tcPr>
          <w:p w14:paraId="7FBC1A03">
            <w:pPr>
              <w:jc w:val="left"/>
            </w:pPr>
            <w:r>
              <w:t>稳定 1.0 / 动摇 0.7 / 转移 0（仅维持 Beta）</w:t>
            </w:r>
          </w:p>
        </w:tc>
      </w:tr>
    </w:tbl>
    <w:p w14:paraId="4F92A70B">
      <w:pPr>
        <w:pStyle w:val="4"/>
      </w:pPr>
      <w:r>
        <w:rPr>
          <w:b/>
        </w:rPr>
        <w:t>示例：</w:t>
      </w:r>
      <w:r>
        <w:t xml:space="preserve"> 某信号初始强度 80%（强信号），逻辑生命周期处于"共识期"（×0.6），反身性压力"黄色"（×0.75），范式"稳定"（×1.0），则修正后强度 = 80% × 0.6 × 0.75 × 1.0 = </w:t>
      </w:r>
      <w:r>
        <w:rPr>
          <w:b/>
        </w:rPr>
        <w:t>36%</w:t>
      </w:r>
      <w:r>
        <w:t>（弱信号，不产生 Alpha 偏离）。</w:t>
      </w:r>
    </w:p>
    <w:p w14:paraId="1E01A44A">
      <w:pPr>
        <w:pStyle w:val="4"/>
      </w:pPr>
      <w:r>
        <w:rPr>
          <w:b/>
        </w:rPr>
        <w:t>修正后信号强度与 Alpha 偏离的对应关系：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2F4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232D956">
            <w:pPr>
              <w:jc w:val="left"/>
            </w:pPr>
            <w:r>
              <w:t>修正后强度</w:t>
            </w:r>
          </w:p>
        </w:tc>
        <w:tc>
          <w:tcPr>
            <w:tcW w:w="2768" w:type="dxa"/>
            <w:vAlign w:val="center"/>
          </w:tcPr>
          <w:p w14:paraId="0A16C481">
            <w:pPr>
              <w:jc w:val="left"/>
            </w:pPr>
            <w:r>
              <w:t>信号等级</w:t>
            </w:r>
          </w:p>
        </w:tc>
        <w:tc>
          <w:tcPr>
            <w:tcW w:w="2768" w:type="dxa"/>
            <w:vAlign w:val="center"/>
          </w:tcPr>
          <w:p w14:paraId="0503BBF8">
            <w:pPr>
              <w:jc w:val="left"/>
            </w:pPr>
            <w:r>
              <w:t>Alpha 偏离</w:t>
            </w:r>
          </w:p>
        </w:tc>
      </w:tr>
      <w:tr w14:paraId="3FB1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71168F7">
            <w:pPr>
              <w:jc w:val="left"/>
            </w:pPr>
            <w:r>
              <w:t>≥ 80%</w:t>
            </w:r>
          </w:p>
        </w:tc>
        <w:tc>
          <w:tcPr>
            <w:tcW w:w="2768" w:type="dxa"/>
            <w:vAlign w:val="center"/>
          </w:tcPr>
          <w:p w14:paraId="0588B303">
            <w:pPr>
              <w:jc w:val="left"/>
            </w:pPr>
            <w:r>
              <w:t>强信号</w:t>
            </w:r>
          </w:p>
        </w:tc>
        <w:tc>
          <w:tcPr>
            <w:tcW w:w="2768" w:type="dxa"/>
            <w:vAlign w:val="center"/>
          </w:tcPr>
          <w:p w14:paraId="3F877826">
            <w:pPr>
              <w:jc w:val="left"/>
            </w:pPr>
            <w:r>
              <w:t>偏离系数 0.3</w:t>
            </w:r>
          </w:p>
        </w:tc>
      </w:tr>
      <w:tr w14:paraId="2D6C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3926E64">
            <w:pPr>
              <w:jc w:val="left"/>
            </w:pPr>
            <w:r>
              <w:t>60%-80%</w:t>
            </w:r>
          </w:p>
        </w:tc>
        <w:tc>
          <w:tcPr>
            <w:tcW w:w="2768" w:type="dxa"/>
            <w:vAlign w:val="center"/>
          </w:tcPr>
          <w:p w14:paraId="13B0E920">
            <w:pPr>
              <w:jc w:val="left"/>
            </w:pPr>
            <w:r>
              <w:t>有效信号</w:t>
            </w:r>
          </w:p>
        </w:tc>
        <w:tc>
          <w:tcPr>
            <w:tcW w:w="2768" w:type="dxa"/>
            <w:vAlign w:val="center"/>
          </w:tcPr>
          <w:p w14:paraId="72055F40">
            <w:pPr>
              <w:jc w:val="left"/>
            </w:pPr>
            <w:r>
              <w:t>偏离系数 0.2</w:t>
            </w:r>
          </w:p>
        </w:tc>
      </w:tr>
      <w:tr w14:paraId="2A5A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90FAF2E">
            <w:pPr>
              <w:jc w:val="left"/>
            </w:pPr>
            <w:r>
              <w:t>50%-60%</w:t>
            </w:r>
          </w:p>
        </w:tc>
        <w:tc>
          <w:tcPr>
            <w:tcW w:w="2768" w:type="dxa"/>
            <w:vAlign w:val="center"/>
          </w:tcPr>
          <w:p w14:paraId="76DD7F37">
            <w:pPr>
              <w:jc w:val="left"/>
            </w:pPr>
            <w:r>
              <w:t>弱有效信号</w:t>
            </w:r>
          </w:p>
        </w:tc>
        <w:tc>
          <w:tcPr>
            <w:tcW w:w="2768" w:type="dxa"/>
            <w:vAlign w:val="center"/>
          </w:tcPr>
          <w:p w14:paraId="6E42CD34">
            <w:pPr>
              <w:jc w:val="left"/>
            </w:pPr>
            <w:r>
              <w:t>偏离系数 0.1</w:t>
            </w:r>
          </w:p>
        </w:tc>
      </w:tr>
      <w:tr w14:paraId="76C0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901E6D3">
            <w:pPr>
              <w:jc w:val="left"/>
            </w:pPr>
            <w:r>
              <w:t>&lt; 50%</w:t>
            </w:r>
          </w:p>
        </w:tc>
        <w:tc>
          <w:tcPr>
            <w:tcW w:w="2768" w:type="dxa"/>
            <w:vAlign w:val="center"/>
          </w:tcPr>
          <w:p w14:paraId="07BDA496">
            <w:pPr>
              <w:jc w:val="left"/>
            </w:pPr>
            <w:r>
              <w:t>弱信号</w:t>
            </w:r>
          </w:p>
        </w:tc>
        <w:tc>
          <w:tcPr>
            <w:tcW w:w="2768" w:type="dxa"/>
            <w:vAlign w:val="center"/>
          </w:tcPr>
          <w:p w14:paraId="2E53AE2A">
            <w:pPr>
              <w:jc w:val="left"/>
            </w:pPr>
            <w:r>
              <w:t>不产生 Alpha 偏离，仅做结构性配置</w:t>
            </w:r>
          </w:p>
        </w:tc>
      </w:tr>
    </w:tbl>
    <w:p w14:paraId="624F41CC">
      <w:pPr>
        <w:pBdr>
          <w:bottom w:val="single" w:color="auto" w:sz="8" w:space="0"/>
        </w:pBdr>
      </w:pPr>
    </w:p>
    <w:p w14:paraId="23AAC387">
      <w:pPr>
        <w:pStyle w:val="9"/>
      </w:pPr>
      <w:r>
        <w:t>4.5.6 Layer 4.5 输出形态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63D85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1620E47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58093226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7F060D6B">
            <w:pPr>
              <w:jc w:val="left"/>
            </w:pPr>
            <w:r>
              <w:t>频率</w:t>
            </w:r>
          </w:p>
        </w:tc>
      </w:tr>
      <w:tr w14:paraId="421F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A51642C">
            <w:pPr>
              <w:jc w:val="left"/>
            </w:pPr>
            <w:r>
              <w:t>反身性压力综合得分</w:t>
            </w:r>
          </w:p>
        </w:tc>
        <w:tc>
          <w:tcPr>
            <w:tcW w:w="2076" w:type="dxa"/>
            <w:vAlign w:val="center"/>
          </w:tcPr>
          <w:p w14:paraId="3D939543">
            <w:pPr>
              <w:jc w:val="left"/>
            </w:pPr>
            <w:r>
              <w:t>0-100 分 + 四项子指标得分</w:t>
            </w:r>
          </w:p>
        </w:tc>
        <w:tc>
          <w:tcPr>
            <w:tcW w:w="2076" w:type="dxa"/>
            <w:vAlign w:val="center"/>
          </w:tcPr>
          <w:p w14:paraId="1DDDC9DD">
            <w:pPr>
              <w:jc w:val="left"/>
            </w:pPr>
            <w:r>
              <w:t>周度（红色时日度）</w:t>
            </w:r>
          </w:p>
        </w:tc>
      </w:tr>
      <w:tr w14:paraId="6749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316C523">
            <w:pPr>
              <w:jc w:val="left"/>
            </w:pPr>
            <w:r>
              <w:t>范式稳定性判定</w:t>
            </w:r>
          </w:p>
        </w:tc>
        <w:tc>
          <w:tcPr>
            <w:tcW w:w="2076" w:type="dxa"/>
            <w:vAlign w:val="center"/>
          </w:tcPr>
          <w:p w14:paraId="0C07570A">
            <w:pPr>
              <w:jc w:val="left"/>
            </w:pPr>
            <w:r>
              <w:t>稳定/动摇/转移</w:t>
            </w:r>
          </w:p>
        </w:tc>
        <w:tc>
          <w:tcPr>
            <w:tcW w:w="2076" w:type="dxa"/>
            <w:vAlign w:val="center"/>
          </w:tcPr>
          <w:p w14:paraId="43AD8EE8">
            <w:pPr>
              <w:jc w:val="left"/>
            </w:pPr>
            <w:r>
              <w:t>月度（触发时即时）</w:t>
            </w:r>
          </w:p>
        </w:tc>
      </w:tr>
      <w:tr w14:paraId="251C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8AEAD43">
            <w:pPr>
              <w:jc w:val="left"/>
            </w:pPr>
            <w:r>
              <w:t>人类裁决触发状态</w:t>
            </w:r>
          </w:p>
        </w:tc>
        <w:tc>
          <w:tcPr>
            <w:tcW w:w="2076" w:type="dxa"/>
            <w:vAlign w:val="center"/>
          </w:tcPr>
          <w:p w14:paraId="13CB90AC">
            <w:pPr>
              <w:jc w:val="left"/>
            </w:pPr>
            <w:r>
              <w:t>触发/未触发 + 触发原因</w:t>
            </w:r>
          </w:p>
        </w:tc>
        <w:tc>
          <w:tcPr>
            <w:tcW w:w="2076" w:type="dxa"/>
            <w:vAlign w:val="center"/>
          </w:tcPr>
          <w:p w14:paraId="0B337AC1">
            <w:pPr>
              <w:jc w:val="left"/>
            </w:pPr>
            <w:r>
              <w:t>实时</w:t>
            </w:r>
          </w:p>
        </w:tc>
      </w:tr>
      <w:tr w14:paraId="3CAB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B9C2A0E">
            <w:pPr>
              <w:jc w:val="left"/>
            </w:pPr>
            <w:r>
              <w:t>叙事生命周期数据库更新</w:t>
            </w:r>
          </w:p>
        </w:tc>
        <w:tc>
          <w:tcPr>
            <w:tcW w:w="2076" w:type="dxa"/>
            <w:vAlign w:val="center"/>
          </w:tcPr>
          <w:p w14:paraId="21FDA94C">
            <w:pPr>
              <w:jc w:val="left"/>
            </w:pPr>
            <w:r>
              <w:t>活跃叙事及其阶段</w:t>
            </w:r>
          </w:p>
        </w:tc>
        <w:tc>
          <w:tcPr>
            <w:tcW w:w="2076" w:type="dxa"/>
            <w:vAlign w:val="center"/>
          </w:tcPr>
          <w:p w14:paraId="00D04B04">
            <w:pPr>
              <w:jc w:val="left"/>
            </w:pPr>
            <w:r>
              <w:t>月度</w:t>
            </w:r>
          </w:p>
        </w:tc>
      </w:tr>
      <w:tr w14:paraId="2156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4B9B4BD">
            <w:pPr>
              <w:jc w:val="left"/>
            </w:pPr>
            <w:r>
              <w:t>信号修正因子汇总</w:t>
            </w:r>
          </w:p>
        </w:tc>
        <w:tc>
          <w:tcPr>
            <w:tcW w:w="2076" w:type="dxa"/>
            <w:vAlign w:val="center"/>
          </w:tcPr>
          <w:p w14:paraId="56B3A3B0">
            <w:pPr>
              <w:jc w:val="left"/>
            </w:pPr>
            <w:r>
              <w:t>各信号的三重修正系数及修正后强度</w:t>
            </w:r>
          </w:p>
        </w:tc>
        <w:tc>
          <w:tcPr>
            <w:tcW w:w="2076" w:type="dxa"/>
            <w:vAlign w:val="center"/>
          </w:tcPr>
          <w:p w14:paraId="1CC64D58">
            <w:pPr>
              <w:jc w:val="left"/>
            </w:pPr>
            <w:r>
              <w:t>周度</w:t>
            </w:r>
          </w:p>
        </w:tc>
      </w:tr>
    </w:tbl>
    <w:p w14:paraId="187FF1A3">
      <w:pPr>
        <w:pStyle w:val="4"/>
      </w:pPr>
      <w:r>
        <w:rPr>
          <w:b/>
        </w:rPr>
        <w:t>数据流向：</w:t>
      </w:r>
      <w:r>
        <w:t xml:space="preserve"> Layer 4（预期差信号方向 + 初始强度）→ </w:t>
      </w:r>
      <w:r>
        <w:rPr>
          <w:b/>
        </w:rPr>
        <w:t>Layer 4.5（反身性压力修正 + 范式稳定性修正 + 逻辑生命周期修正 → 修正后信号强度）</w:t>
      </w:r>
      <w:r>
        <w:t xml:space="preserve"> → Layer 5（修正后信号驱动的资产配置权重）</w:t>
      </w:r>
    </w:p>
    <w:p w14:paraId="5225B261">
      <w:pPr>
        <w:pStyle w:val="7"/>
      </w:pPr>
      <w:r>
        <w:t>Layer 5：资产配置与权重输出</w:t>
      </w:r>
    </w:p>
    <w:p w14:paraId="51371AF4">
      <w:pPr>
        <w:pStyle w:val="9"/>
      </w:pPr>
      <w:r>
        <w:t>5.1 核心架构：Beta + Alpha 双层</w:t>
      </w:r>
    </w:p>
    <w:p w14:paraId="49BE8C0D">
      <w:pPr>
        <w:pStyle w:val="4"/>
      </w:pPr>
      <w:r>
        <w:t>最终持仓 = Beta 基准 + Alpha 偏离</w:t>
      </w:r>
    </w:p>
    <w:p w14:paraId="4621B276">
      <w:pPr>
        <w:pStyle w:val="4"/>
      </w:pPr>
      <w:r>
        <w:rPr>
          <w:b/>
        </w:rPr>
        <w:t>设计逻辑：</w:t>
      </w:r>
    </w:p>
    <w:p w14:paraId="47506559">
      <w:pPr>
        <w:pStyle w:val="4"/>
        <w:numPr>
          <w:ilvl w:val="0"/>
          <w:numId w:val="36"/>
        </w:numPr>
      </w:pPr>
      <w:r>
        <w:rPr>
          <w:b/>
        </w:rPr>
        <w:t>Beta 层（All Weather 风险平价）：</w:t>
      </w:r>
      <w:r>
        <w:t xml:space="preserve"> 保证信号失效时仍能存活。无论宏观判断对错，Beta 层确保组合不会因单次误判遭受致命损失。这一层是"活着"的保障。</w:t>
      </w:r>
    </w:p>
    <w:p w14:paraId="3C4A7CEE">
      <w:pPr>
        <w:pStyle w:val="4"/>
        <w:numPr>
          <w:ilvl w:val="0"/>
          <w:numId w:val="36"/>
        </w:numPr>
      </w:pPr>
      <w:r>
        <w:rPr>
          <w:b/>
        </w:rPr>
        <w:t>Alpha 层（预期差信号驱动）：</w:t>
      </w:r>
      <w:r>
        <w:t xml:space="preserve"> 让信号有效时跑出超额。当 Layer 4 的预期差信号清晰且强度足够时，Alpha 层在 Beta 基准上做方向性偏离。这一层是"跑赢"的引擎。</w:t>
      </w:r>
    </w:p>
    <w:p w14:paraId="1759243B">
      <w:pPr>
        <w:pStyle w:val="4"/>
      </w:pPr>
      <w:r>
        <w:t>行业景气映射模块（A 股 + 美股行业轮动表、行业景气跟踪指标、量化评分公式）继续保留（5.4 节），作为 Alpha 偏离的细粒度指引。本层从"裸信号"升级为"有风控的分层组合"。</w:t>
      </w:r>
    </w:p>
    <w:p w14:paraId="1E98B63D">
      <w:pPr>
        <w:pBdr>
          <w:bottom w:val="single" w:color="auto" w:sz="8" w:space="0"/>
        </w:pBdr>
      </w:pPr>
    </w:p>
    <w:p w14:paraId="18FDB062">
      <w:pPr>
        <w:pStyle w:val="9"/>
      </w:pPr>
      <w:r>
        <w:t>5.2 中国版 All Weather Beta 基准</w:t>
      </w:r>
    </w:p>
    <w:p w14:paraId="3F1883D0">
      <w:pPr>
        <w:pStyle w:val="4"/>
      </w:pPr>
      <w:r>
        <w:t>5 类资产风险平价组合：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A36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661CCF4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76971CBF">
            <w:pPr>
              <w:jc w:val="left"/>
            </w:pPr>
            <w:r>
              <w:t>对应象限</w:t>
            </w:r>
          </w:p>
        </w:tc>
        <w:tc>
          <w:tcPr>
            <w:tcW w:w="2076" w:type="dxa"/>
            <w:vAlign w:val="center"/>
          </w:tcPr>
          <w:p w14:paraId="477DFF24">
            <w:pPr>
              <w:jc w:val="left"/>
            </w:pPr>
            <w:r>
              <w:t>工具</w:t>
            </w:r>
          </w:p>
        </w:tc>
        <w:tc>
          <w:tcPr>
            <w:tcW w:w="2076" w:type="dxa"/>
            <w:vAlign w:val="center"/>
          </w:tcPr>
          <w:p w14:paraId="4F57CCA6">
            <w:pPr>
              <w:jc w:val="left"/>
            </w:pPr>
            <w:r>
              <w:t>数据来源</w:t>
            </w:r>
          </w:p>
        </w:tc>
      </w:tr>
      <w:tr w14:paraId="736A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A0F7B71">
            <w:pPr>
              <w:jc w:val="left"/>
            </w:pPr>
            <w:r>
              <w:rPr>
                <w:b/>
              </w:rPr>
              <w:t>A 股（沪深 300 + 中证 500）</w:t>
            </w:r>
          </w:p>
        </w:tc>
        <w:tc>
          <w:tcPr>
            <w:tcW w:w="2076" w:type="dxa"/>
            <w:vAlign w:val="center"/>
          </w:tcPr>
          <w:p w14:paraId="7B8884C9">
            <w:pPr>
              <w:jc w:val="left"/>
            </w:pPr>
            <w:r>
              <w:t>复苏/过热</w:t>
            </w:r>
          </w:p>
        </w:tc>
        <w:tc>
          <w:tcPr>
            <w:tcW w:w="2076" w:type="dxa"/>
            <w:vAlign w:val="center"/>
          </w:tcPr>
          <w:p w14:paraId="7FD7DF25">
            <w:pPr>
              <w:jc w:val="left"/>
            </w:pPr>
            <w:r>
              <w:t>股指期货（IF/IC）、宽基 ETF（510300/510500）</w:t>
            </w:r>
          </w:p>
        </w:tc>
        <w:tc>
          <w:tcPr>
            <w:tcW w:w="2076" w:type="dxa"/>
            <w:vAlign w:val="center"/>
          </w:tcPr>
          <w:p w14:paraId="118807DF">
            <w:pPr>
              <w:jc w:val="left"/>
            </w:pPr>
            <w:r>
              <w:t>Wind / CFFEX</w:t>
            </w:r>
          </w:p>
        </w:tc>
      </w:tr>
      <w:tr w14:paraId="5420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D9512A4">
            <w:pPr>
              <w:jc w:val="left"/>
            </w:pPr>
            <w:r>
              <w:rPr>
                <w:b/>
              </w:rPr>
              <w:t>中国国债（10 年期为主）</w:t>
            </w:r>
          </w:p>
        </w:tc>
        <w:tc>
          <w:tcPr>
            <w:tcW w:w="2076" w:type="dxa"/>
            <w:vAlign w:val="center"/>
          </w:tcPr>
          <w:p w14:paraId="725140C8">
            <w:pPr>
              <w:jc w:val="left"/>
            </w:pPr>
            <w:r>
              <w:t>衰退/流动性陷阱</w:t>
            </w:r>
          </w:p>
        </w:tc>
        <w:tc>
          <w:tcPr>
            <w:tcW w:w="2076" w:type="dxa"/>
            <w:vAlign w:val="center"/>
          </w:tcPr>
          <w:p w14:paraId="49B907B5">
            <w:pPr>
              <w:jc w:val="left"/>
            </w:pPr>
            <w:r>
              <w:t>国债期货（T）、利率债 ETF（511010/511260）</w:t>
            </w:r>
          </w:p>
        </w:tc>
        <w:tc>
          <w:tcPr>
            <w:tcW w:w="2076" w:type="dxa"/>
            <w:vAlign w:val="center"/>
          </w:tcPr>
          <w:p w14:paraId="5D331A02">
            <w:pPr>
              <w:jc w:val="left"/>
            </w:pPr>
            <w:r>
              <w:t>Wind / CFFEX</w:t>
            </w:r>
          </w:p>
        </w:tc>
      </w:tr>
      <w:tr w14:paraId="1086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8166353">
            <w:pPr>
              <w:jc w:val="left"/>
            </w:pPr>
            <w:r>
              <w:rPr>
                <w:b/>
              </w:rPr>
              <w:t>黄金</w:t>
            </w:r>
          </w:p>
        </w:tc>
        <w:tc>
          <w:tcPr>
            <w:tcW w:w="2076" w:type="dxa"/>
            <w:vAlign w:val="center"/>
          </w:tcPr>
          <w:p w14:paraId="1DA2C329">
            <w:pPr>
              <w:jc w:val="left"/>
            </w:pPr>
            <w:r>
              <w:t>滞胀/危机对冲</w:t>
            </w:r>
          </w:p>
        </w:tc>
        <w:tc>
          <w:tcPr>
            <w:tcW w:w="2076" w:type="dxa"/>
            <w:vAlign w:val="center"/>
          </w:tcPr>
          <w:p w14:paraId="51EC3D59">
            <w:pPr>
              <w:jc w:val="left"/>
            </w:pPr>
            <w:r>
              <w:t>黄金期货（AU）、黄金 ETF（518880）</w:t>
            </w:r>
          </w:p>
        </w:tc>
        <w:tc>
          <w:tcPr>
            <w:tcW w:w="2076" w:type="dxa"/>
            <w:vAlign w:val="center"/>
          </w:tcPr>
          <w:p w14:paraId="00DBB7C4">
            <w:pPr>
              <w:jc w:val="left"/>
            </w:pPr>
            <w:r>
              <w:t>SHFE / Wind</w:t>
            </w:r>
          </w:p>
        </w:tc>
      </w:tr>
      <w:tr w14:paraId="685D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BA451AC">
            <w:pPr>
              <w:jc w:val="left"/>
            </w:pPr>
            <w:r>
              <w:rPr>
                <w:b/>
              </w:rPr>
              <w:t>美元资产（美债 + QDII）</w:t>
            </w:r>
          </w:p>
        </w:tc>
        <w:tc>
          <w:tcPr>
            <w:tcW w:w="2076" w:type="dxa"/>
            <w:vAlign w:val="center"/>
          </w:tcPr>
          <w:p w14:paraId="6338A066">
            <w:pPr>
              <w:jc w:val="left"/>
            </w:pPr>
            <w:r>
              <w:t>外部对冲</w:t>
            </w:r>
          </w:p>
        </w:tc>
        <w:tc>
          <w:tcPr>
            <w:tcW w:w="2076" w:type="dxa"/>
            <w:vAlign w:val="center"/>
          </w:tcPr>
          <w:p w14:paraId="2E9E13FC">
            <w:pPr>
              <w:jc w:val="left"/>
            </w:pPr>
            <w:r>
              <w:t>QDII 基金、港美股 ETF（513500/513100）</w:t>
            </w:r>
          </w:p>
        </w:tc>
        <w:tc>
          <w:tcPr>
            <w:tcW w:w="2076" w:type="dxa"/>
            <w:vAlign w:val="center"/>
          </w:tcPr>
          <w:p w14:paraId="28930D0B">
            <w:pPr>
              <w:jc w:val="left"/>
            </w:pPr>
            <w:r>
              <w:t>Bloomberg / 各 QDII 发行方</w:t>
            </w:r>
          </w:p>
        </w:tc>
      </w:tr>
    </w:tbl>
    <w:p w14:paraId="0AB3818D">
      <w:pPr>
        <w:pStyle w:val="8"/>
      </w:pPr>
      <w:r>
        <w:t>权重确定</w:t>
      </w:r>
    </w:p>
    <w:p w14:paraId="7358AB48">
      <w:pPr>
        <w:pStyle w:val="4"/>
      </w:pPr>
      <w:r>
        <w:rPr>
          <w:b/>
        </w:rPr>
        <w:t>基础权重：</w:t>
      </w:r>
      <w:r>
        <w:t xml:space="preserve"> 风险平价（权重 ∝ 1/波动率）</w:t>
      </w:r>
    </w:p>
    <w:p w14:paraId="4055824E">
      <w:pPr>
        <w:pStyle w:val="4"/>
      </w:pPr>
      <w:r>
        <w:t>计算步骤：</w:t>
      </w:r>
    </w:p>
    <w:p w14:paraId="42C3B799">
      <w:pPr>
        <w:pStyle w:val="4"/>
        <w:numPr>
          <w:ilvl w:val="0"/>
          <w:numId w:val="37"/>
        </w:numPr>
      </w:pPr>
      <w:r>
        <w:t>计算各资产 3 年滚动年化波动率 σᵢ</w:t>
      </w:r>
    </w:p>
    <w:p w14:paraId="574F39A8">
      <w:pPr>
        <w:pStyle w:val="4"/>
        <w:numPr>
          <w:ilvl w:val="0"/>
          <w:numId w:val="37"/>
        </w:numPr>
      </w:pPr>
      <w:r>
        <w:t>基础权重 wᵢ = (1/σᵢ) / Σ(1/σⱼ)</w:t>
      </w:r>
    </w:p>
    <w:p w14:paraId="78745676">
      <w:pPr>
        <w:pStyle w:val="4"/>
        <w:numPr>
          <w:ilvl w:val="0"/>
          <w:numId w:val="37"/>
        </w:numPr>
      </w:pPr>
      <w:r>
        <w:t>校验组合年化波动率 ≤ 8%（若超标，等比例缩降权重）</w:t>
      </w:r>
    </w:p>
    <w:p w14:paraId="4EAA1EA0">
      <w:pPr>
        <w:pStyle w:val="4"/>
      </w:pPr>
      <w:r>
        <w:rPr>
          <w:b/>
        </w:rPr>
        <w:t>Layer 2 长期债务周期战略偏置：</w:t>
      </w:r>
    </w:p>
    <w:p w14:paraId="367062B4">
      <w:pPr>
        <w:pStyle w:val="4"/>
      </w:pPr>
      <w:r>
        <w:t>基于 Ray Dalio 长期债务周期框架，对基础权重做战略调整：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704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606C998">
            <w:pPr>
              <w:jc w:val="left"/>
            </w:pPr>
            <w:r>
              <w:t>偏置方向</w:t>
            </w:r>
          </w:p>
        </w:tc>
        <w:tc>
          <w:tcPr>
            <w:tcW w:w="2768" w:type="dxa"/>
            <w:vAlign w:val="center"/>
          </w:tcPr>
          <w:p w14:paraId="5DFA80ED">
            <w:pPr>
              <w:jc w:val="left"/>
            </w:pPr>
            <w:r>
              <w:t>调整幅度</w:t>
            </w:r>
          </w:p>
        </w:tc>
        <w:tc>
          <w:tcPr>
            <w:tcW w:w="2768" w:type="dxa"/>
            <w:vAlign w:val="center"/>
          </w:tcPr>
          <w:p w14:paraId="4000F454">
            <w:pPr>
              <w:jc w:val="left"/>
            </w:pPr>
            <w:r>
              <w:t>逻辑</w:t>
            </w:r>
          </w:p>
        </w:tc>
      </w:tr>
      <w:tr w14:paraId="17AB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B8B4A9D">
            <w:pPr>
              <w:jc w:val="left"/>
            </w:pPr>
            <w:r>
              <w:t>黄金/商品</w:t>
            </w:r>
          </w:p>
        </w:tc>
        <w:tc>
          <w:tcPr>
            <w:tcW w:w="2768" w:type="dxa"/>
            <w:vAlign w:val="center"/>
          </w:tcPr>
          <w:p w14:paraId="3A1228A8">
            <w:pPr>
              <w:jc w:val="left"/>
            </w:pPr>
            <w:r>
              <w:t>+10-20%</w:t>
            </w:r>
          </w:p>
        </w:tc>
        <w:tc>
          <w:tcPr>
            <w:tcW w:w="2768" w:type="dxa"/>
            <w:vAlign w:val="center"/>
          </w:tcPr>
          <w:p w14:paraId="32BE2C49">
            <w:pPr>
              <w:jc w:val="left"/>
            </w:pPr>
            <w:r>
              <w:t>长期债务周期后半段，货币信用风险上升，实物资产相对受益</w:t>
            </w:r>
          </w:p>
        </w:tc>
      </w:tr>
      <w:tr w14:paraId="4F94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BF1F77D">
            <w:pPr>
              <w:jc w:val="left"/>
            </w:pPr>
            <w:r>
              <w:t>长期名义债券</w:t>
            </w:r>
          </w:p>
        </w:tc>
        <w:tc>
          <w:tcPr>
            <w:tcW w:w="2768" w:type="dxa"/>
            <w:vAlign w:val="center"/>
          </w:tcPr>
          <w:p w14:paraId="5A69895B">
            <w:pPr>
              <w:jc w:val="left"/>
            </w:pPr>
            <w:r>
              <w:t>−10%</w:t>
            </w:r>
          </w:p>
        </w:tc>
        <w:tc>
          <w:tcPr>
            <w:tcW w:w="2768" w:type="dxa"/>
            <w:vAlign w:val="center"/>
          </w:tcPr>
          <w:p w14:paraId="181D2EC4">
            <w:pPr>
              <w:jc w:val="left"/>
            </w:pPr>
            <w:r>
              <w:t>长期利率中枢可能上移，久期风险加大</w:t>
            </w:r>
          </w:p>
        </w:tc>
      </w:tr>
    </w:tbl>
    <w:p w14:paraId="365B1008">
      <w:pPr>
        <w:pStyle w:val="4"/>
      </w:pPr>
      <w:r>
        <w:rPr>
          <w:b/>
        </w:rPr>
        <w:t>Beta 基准示例（示意）：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D9D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1DA6290">
            <w:pPr>
              <w:jc w:val="left"/>
            </w:pPr>
            <w:r>
              <w:t>资产</w:t>
            </w:r>
          </w:p>
        </w:tc>
        <w:tc>
          <w:tcPr>
            <w:tcW w:w="2076" w:type="dxa"/>
            <w:vAlign w:val="center"/>
          </w:tcPr>
          <w:p w14:paraId="3B740619">
            <w:pPr>
              <w:jc w:val="left"/>
            </w:pPr>
            <w:r>
              <w:t>基础风险平价权重</w:t>
            </w:r>
          </w:p>
        </w:tc>
        <w:tc>
          <w:tcPr>
            <w:tcW w:w="2076" w:type="dxa"/>
            <w:vAlign w:val="center"/>
          </w:tcPr>
          <w:p w14:paraId="28404129">
            <w:pPr>
              <w:jc w:val="left"/>
            </w:pPr>
            <w:r>
              <w:t>战略偏置</w:t>
            </w:r>
          </w:p>
        </w:tc>
        <w:tc>
          <w:tcPr>
            <w:tcW w:w="2076" w:type="dxa"/>
            <w:vAlign w:val="center"/>
          </w:tcPr>
          <w:p w14:paraId="38F2BA4B">
            <w:pPr>
              <w:jc w:val="left"/>
            </w:pPr>
            <w:r>
              <w:t>调整后 Beta 基准</w:t>
            </w:r>
          </w:p>
        </w:tc>
      </w:tr>
      <w:tr w14:paraId="6610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66D6738">
            <w:pPr>
              <w:jc w:val="left"/>
            </w:pPr>
            <w:r>
              <w:t>A 股</w:t>
            </w:r>
          </w:p>
        </w:tc>
        <w:tc>
          <w:tcPr>
            <w:tcW w:w="2076" w:type="dxa"/>
            <w:vAlign w:val="center"/>
          </w:tcPr>
          <w:p w14:paraId="6B1444D7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3F9C541D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1ED2BAB8">
            <w:pPr>
              <w:jc w:val="left"/>
            </w:pPr>
            <w:r>
              <w:t>15%</w:t>
            </w:r>
          </w:p>
        </w:tc>
      </w:tr>
      <w:tr w14:paraId="023D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28F278F">
            <w:pPr>
              <w:jc w:val="left"/>
            </w:pPr>
            <w:r>
              <w:t>中国国债</w:t>
            </w:r>
          </w:p>
        </w:tc>
        <w:tc>
          <w:tcPr>
            <w:tcW w:w="2076" w:type="dxa"/>
            <w:vAlign w:val="center"/>
          </w:tcPr>
          <w:p w14:paraId="04E6E768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354C9E9A">
            <w:pPr>
              <w:jc w:val="left"/>
            </w:pPr>
            <w:r>
              <w:t>−10% → 31.5%</w:t>
            </w:r>
          </w:p>
        </w:tc>
        <w:tc>
          <w:tcPr>
            <w:tcW w:w="2076" w:type="dxa"/>
            <w:vAlign w:val="center"/>
          </w:tcPr>
          <w:p w14:paraId="54842FD5">
            <w:pPr>
              <w:jc w:val="left"/>
            </w:pPr>
            <w:r>
              <w:t>32%</w:t>
            </w:r>
          </w:p>
        </w:tc>
      </w:tr>
      <w:tr w14:paraId="670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D5AA7DC">
            <w:pPr>
              <w:jc w:val="left"/>
            </w:pPr>
            <w:r>
              <w:t>黄金</w:t>
            </w:r>
          </w:p>
        </w:tc>
        <w:tc>
          <w:tcPr>
            <w:tcW w:w="2076" w:type="dxa"/>
            <w:vAlign w:val="center"/>
          </w:tcPr>
          <w:p w14:paraId="6869FCF2">
            <w:pPr>
              <w:jc w:val="left"/>
            </w:pPr>
            <w:r>
              <w:t>30%</w:t>
            </w:r>
          </w:p>
        </w:tc>
        <w:tc>
          <w:tcPr>
            <w:tcW w:w="2076" w:type="dxa"/>
            <w:vAlign w:val="center"/>
          </w:tcPr>
          <w:p w14:paraId="4421D66A">
            <w:pPr>
              <w:jc w:val="left"/>
            </w:pPr>
            <w:r>
              <w:t>+10% → 33%</w:t>
            </w:r>
          </w:p>
        </w:tc>
        <w:tc>
          <w:tcPr>
            <w:tcW w:w="2076" w:type="dxa"/>
            <w:vAlign w:val="center"/>
          </w:tcPr>
          <w:p w14:paraId="2EB5304A">
            <w:pPr>
              <w:jc w:val="left"/>
            </w:pPr>
            <w:r>
              <w:t>33%</w:t>
            </w:r>
          </w:p>
        </w:tc>
      </w:tr>
      <w:tr w14:paraId="6BD4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372D9B">
            <w:pPr>
              <w:jc w:val="left"/>
            </w:pPr>
            <w:r>
              <w:t>美元资产</w:t>
            </w:r>
          </w:p>
        </w:tc>
        <w:tc>
          <w:tcPr>
            <w:tcW w:w="2076" w:type="dxa"/>
            <w:vAlign w:val="center"/>
          </w:tcPr>
          <w:p w14:paraId="3875EE29">
            <w:pPr>
              <w:jc w:val="left"/>
            </w:pPr>
            <w:r>
              <w:t>20%</w:t>
            </w:r>
          </w:p>
        </w:tc>
        <w:tc>
          <w:tcPr>
            <w:tcW w:w="2076" w:type="dxa"/>
            <w:vAlign w:val="center"/>
          </w:tcPr>
          <w:p w14:paraId="1B678C8F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664D2D0A">
            <w:pPr>
              <w:jc w:val="left"/>
            </w:pPr>
            <w:r>
              <w:t>20%</w:t>
            </w:r>
          </w:p>
        </w:tc>
      </w:tr>
    </w:tbl>
    <w:p w14:paraId="206A89B1">
      <w:pPr>
        <w:pStyle w:val="4"/>
      </w:pPr>
      <w:r>
        <w:t>（上表为示意，实际权重由量化模型组按月度波动率计算）</w:t>
      </w:r>
    </w:p>
    <w:p w14:paraId="64A7B1C7">
      <w:pPr>
        <w:pBdr>
          <w:bottom w:val="single" w:color="auto" w:sz="8" w:space="0"/>
        </w:pBdr>
      </w:pPr>
    </w:p>
    <w:p w14:paraId="393D336F">
      <w:pPr>
        <w:pStyle w:val="9"/>
      </w:pPr>
      <w:r>
        <w:t>5.3 Alpha 偏离的生成</w:t>
      </w:r>
    </w:p>
    <w:p w14:paraId="2DC94722">
      <w:pPr>
        <w:pStyle w:val="4"/>
      </w:pPr>
      <w:r>
        <w:t>Layer 4 的预期差信号 + Layer 2.5 枢纽变量信号 → 映射为相对基准的偏离</w:t>
      </w:r>
    </w:p>
    <w:p w14:paraId="407C6A2C">
      <w:pPr>
        <w:pStyle w:val="8"/>
      </w:pPr>
      <w:r>
        <w:t>信号映射规则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23B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B7D2A3C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60E0D34F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7CF0563E">
            <w:pPr>
              <w:jc w:val="left"/>
            </w:pPr>
            <w:r>
              <w:t>Alpha 偏离</w:t>
            </w:r>
          </w:p>
        </w:tc>
      </w:tr>
      <w:tr w14:paraId="3EAF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8FD3782">
            <w:pPr>
              <w:jc w:val="left"/>
            </w:pPr>
            <w:r>
              <w:t>中国增长预期差+</w:t>
            </w:r>
          </w:p>
        </w:tc>
        <w:tc>
          <w:tcPr>
            <w:tcW w:w="2768" w:type="dxa"/>
            <w:vAlign w:val="center"/>
          </w:tcPr>
          <w:p w14:paraId="1410440F">
            <w:pPr>
              <w:jc w:val="left"/>
            </w:pPr>
            <w:r>
              <w:t>实际增长强于定价</w:t>
            </w:r>
          </w:p>
        </w:tc>
        <w:tc>
          <w:tcPr>
            <w:tcW w:w="2768" w:type="dxa"/>
            <w:vAlign w:val="center"/>
          </w:tcPr>
          <w:p w14:paraId="333D87C7">
            <w:pPr>
              <w:jc w:val="left"/>
            </w:pPr>
            <w:r>
              <w:t>A 股↑、商品↑、利率债↓</w:t>
            </w:r>
          </w:p>
        </w:tc>
      </w:tr>
      <w:tr w14:paraId="4820A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344CDCC">
            <w:pPr>
              <w:jc w:val="left"/>
            </w:pPr>
            <w:r>
              <w:t>中国通胀预期差+</w:t>
            </w:r>
          </w:p>
        </w:tc>
        <w:tc>
          <w:tcPr>
            <w:tcW w:w="2768" w:type="dxa"/>
            <w:vAlign w:val="center"/>
          </w:tcPr>
          <w:p w14:paraId="0CEC41BD">
            <w:pPr>
              <w:jc w:val="left"/>
            </w:pPr>
            <w:r>
              <w:t>实际通胀强于定价</w:t>
            </w:r>
          </w:p>
        </w:tc>
        <w:tc>
          <w:tcPr>
            <w:tcW w:w="2768" w:type="dxa"/>
            <w:vAlign w:val="center"/>
          </w:tcPr>
          <w:p w14:paraId="7D4E941F">
            <w:pPr>
              <w:jc w:val="left"/>
            </w:pPr>
            <w:r>
              <w:t>商品↑、上游股↑、利率债↓</w:t>
            </w:r>
          </w:p>
        </w:tc>
      </w:tr>
      <w:tr w14:paraId="7442E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7A87AB4">
            <w:pPr>
              <w:jc w:val="left"/>
            </w:pPr>
            <w:r>
              <w:t>中国政策预期差+</w:t>
            </w:r>
          </w:p>
        </w:tc>
        <w:tc>
          <w:tcPr>
            <w:tcW w:w="2768" w:type="dxa"/>
            <w:vAlign w:val="center"/>
          </w:tcPr>
          <w:p w14:paraId="3AF2E852">
            <w:pPr>
              <w:jc w:val="left"/>
            </w:pPr>
            <w:r>
              <w:t>政策超预期宽松</w:t>
            </w:r>
          </w:p>
        </w:tc>
        <w:tc>
          <w:tcPr>
            <w:tcW w:w="2768" w:type="dxa"/>
            <w:vAlign w:val="center"/>
          </w:tcPr>
          <w:p w14:paraId="0E32569B">
            <w:pPr>
              <w:jc w:val="left"/>
            </w:pPr>
            <w:r>
              <w:t>A 股↑、信用债↑、AI 科技链↑</w:t>
            </w:r>
          </w:p>
        </w:tc>
      </w:tr>
      <w:tr w14:paraId="562A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97CCBBB">
            <w:pPr>
              <w:jc w:val="left"/>
            </w:pPr>
            <w:r>
              <w:t>外部压力预期差−</w:t>
            </w:r>
          </w:p>
        </w:tc>
        <w:tc>
          <w:tcPr>
            <w:tcW w:w="2768" w:type="dxa"/>
            <w:vAlign w:val="center"/>
          </w:tcPr>
          <w:p w14:paraId="52637D96">
            <w:pPr>
              <w:jc w:val="left"/>
            </w:pPr>
            <w:r>
              <w:t>压力小于担忧</w:t>
            </w:r>
          </w:p>
        </w:tc>
        <w:tc>
          <w:tcPr>
            <w:tcW w:w="2768" w:type="dxa"/>
            <w:vAlign w:val="center"/>
          </w:tcPr>
          <w:p w14:paraId="3983188E">
            <w:pPr>
              <w:jc w:val="left"/>
            </w:pPr>
            <w:r>
              <w:t>港股↑、外资重仓股↑、黄金↓</w:t>
            </w:r>
          </w:p>
        </w:tc>
      </w:tr>
      <w:tr w14:paraId="66F8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312F5F4">
            <w:pPr>
              <w:jc w:val="left"/>
            </w:pPr>
            <w:r>
              <w:t>中美增长预期差+</w:t>
            </w:r>
          </w:p>
        </w:tc>
        <w:tc>
          <w:tcPr>
            <w:tcW w:w="2768" w:type="dxa"/>
            <w:vAlign w:val="center"/>
          </w:tcPr>
          <w:p w14:paraId="7D2E3D31">
            <w:pPr>
              <w:jc w:val="left"/>
            </w:pPr>
            <w:r>
              <w:t>中国相对增长更被低估</w:t>
            </w:r>
          </w:p>
        </w:tc>
        <w:tc>
          <w:tcPr>
            <w:tcW w:w="2768" w:type="dxa"/>
            <w:vAlign w:val="center"/>
          </w:tcPr>
          <w:p w14:paraId="687709C1">
            <w:pPr>
              <w:jc w:val="left"/>
            </w:pPr>
            <w:r>
              <w:t>A 股 vs 美股（超配 A 股）、中债 vs 美债（超配中债）</w:t>
            </w:r>
          </w:p>
        </w:tc>
      </w:tr>
      <w:tr w14:paraId="3AE7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E22EB31">
            <w:pPr>
              <w:jc w:val="left"/>
            </w:pPr>
            <w:r>
              <w:t>全球紧缩三角</w:t>
            </w:r>
          </w:p>
        </w:tc>
        <w:tc>
          <w:tcPr>
            <w:tcW w:w="2768" w:type="dxa"/>
            <w:vAlign w:val="center"/>
          </w:tcPr>
          <w:p w14:paraId="637F7210">
            <w:pPr>
              <w:jc w:val="left"/>
            </w:pPr>
            <w:r>
              <w:t>Layer 2.5 三角定位为全球紧缩</w:t>
            </w:r>
          </w:p>
        </w:tc>
        <w:tc>
          <w:tcPr>
            <w:tcW w:w="2768" w:type="dxa"/>
            <w:vAlign w:val="center"/>
          </w:tcPr>
          <w:p w14:paraId="2308629B">
            <w:pPr>
              <w:jc w:val="left"/>
            </w:pPr>
            <w:r>
              <w:t>整体降低风险资产、增加黄金</w:t>
            </w:r>
          </w:p>
        </w:tc>
      </w:tr>
      <w:tr w14:paraId="5A80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912340B">
            <w:pPr>
              <w:jc w:val="left"/>
            </w:pPr>
            <w:r>
              <w:t>铜金比极端低位 + 增长信号好</w:t>
            </w:r>
          </w:p>
        </w:tc>
        <w:tc>
          <w:tcPr>
            <w:tcW w:w="2768" w:type="dxa"/>
            <w:vAlign w:val="center"/>
          </w:tcPr>
          <w:p w14:paraId="6F7EE80B">
            <w:pPr>
              <w:jc w:val="left"/>
            </w:pPr>
            <w:r>
              <w:t>铜被过度低估 + 增长确认</w:t>
            </w:r>
          </w:p>
        </w:tc>
        <w:tc>
          <w:tcPr>
            <w:tcW w:w="2768" w:type="dxa"/>
            <w:vAlign w:val="center"/>
          </w:tcPr>
          <w:p w14:paraId="637D50A3">
            <w:pPr>
              <w:jc w:val="left"/>
            </w:pPr>
            <w:r>
              <w:t>周期股 vs 防御股（超配周期股，反向修复交易）</w:t>
            </w:r>
          </w:p>
        </w:tc>
      </w:tr>
      <w:tr w14:paraId="519E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B97F78A">
            <w:pPr>
              <w:jc w:val="left"/>
            </w:pPr>
            <w:r>
              <w:t>USD/CNH 贬值压力↑</w:t>
            </w:r>
          </w:p>
        </w:tc>
        <w:tc>
          <w:tcPr>
            <w:tcW w:w="2768" w:type="dxa"/>
            <w:vAlign w:val="center"/>
          </w:tcPr>
          <w:p w14:paraId="73E7D835">
            <w:pPr>
              <w:jc w:val="left"/>
            </w:pPr>
            <w:r>
              <w:t>人民币贬值预期增强</w:t>
            </w:r>
          </w:p>
        </w:tc>
        <w:tc>
          <w:tcPr>
            <w:tcW w:w="2768" w:type="dxa"/>
            <w:vAlign w:val="center"/>
          </w:tcPr>
          <w:p w14:paraId="7B951730">
            <w:pPr>
              <w:jc w:val="left"/>
            </w:pPr>
            <w:r>
              <w:t>港股↓、外资重仓股↓、出口股↑、黄金↑</w:t>
            </w:r>
          </w:p>
        </w:tc>
      </w:tr>
    </w:tbl>
    <w:p w14:paraId="1B82F2EE">
      <w:pPr>
        <w:pStyle w:val="4"/>
      </w:pPr>
      <w:r>
        <w:rPr>
          <w:b/>
        </w:rPr>
        <w:t>Alpha 偏离计算规则：</w:t>
      </w:r>
    </w:p>
    <w:p w14:paraId="31469E3C">
      <w:pPr>
        <w:pStyle w:val="4"/>
        <w:numPr>
          <w:ilvl w:val="0"/>
          <w:numId w:val="38"/>
        </w:numPr>
      </w:pPr>
      <w:r>
        <w:t>每个有效信号产生一个偏离方向，</w:t>
      </w:r>
      <w:r>
        <w:rPr>
          <w:b/>
        </w:rPr>
        <w:t>信号强度取 Layer 4.5 修正后的最终强度</w:t>
      </w:r>
      <w:r>
        <w:t>（而非 Layer 4 初始强度）</w:t>
      </w:r>
    </w:p>
    <w:p w14:paraId="7678B3D4">
      <w:pPr>
        <w:pStyle w:val="4"/>
        <w:numPr>
          <w:ilvl w:val="0"/>
          <w:numId w:val="38"/>
        </w:numPr>
      </w:pPr>
      <w:r>
        <w:rPr>
          <w:b/>
        </w:rPr>
        <w:t>最终信号强度 = Layer 4 初始强度 × (1 − 累计衰减率) × 逻辑生命周期修正 × 反身性压力修正 × 范式稳定性修正</w:t>
      </w:r>
    </w:p>
    <w:p w14:paraId="0858756A">
      <w:pPr>
        <w:pStyle w:val="4"/>
        <w:numPr>
          <w:ilvl w:val="1"/>
          <w:numId w:val="38"/>
        </w:numPr>
      </w:pPr>
      <w:r>
        <w:t>示例：初始强度 80%，B 类信号已发布 2 个月（累计衰减 40%），逻辑"扩散期"（×0.9），反身性"绿色"（×1.0），范式"稳定"（×1.0），最终强度 = 80% × 0.6 × 0.9 × 1.0 × 1.0 = 43.2%，低于 50% 阈值，不产生 Alpha 偏离</w:t>
      </w:r>
    </w:p>
    <w:p w14:paraId="7908C2C1">
      <w:pPr>
        <w:pStyle w:val="4"/>
        <w:numPr>
          <w:ilvl w:val="0"/>
          <w:numId w:val="38"/>
        </w:numPr>
      </w:pPr>
      <w:r>
        <w:t>偏离幅度 = 基准权重 × 信号强度系数（修正后强度 ≥ 80% → 系数 0.3；60%-80% → 0.2；50%-60% → 0.1；&lt; 50% → 不产生偏离）</w:t>
      </w:r>
    </w:p>
    <w:p w14:paraId="14F085F0">
      <w:pPr>
        <w:pStyle w:val="4"/>
        <w:numPr>
          <w:ilvl w:val="0"/>
          <w:numId w:val="38"/>
        </w:numPr>
      </w:pPr>
      <w:r>
        <w:t>多个信号对同一资产产生同向偏离时，偏离幅度相加，但受 5.5 节风险预算约束上限限制</w:t>
      </w:r>
    </w:p>
    <w:p w14:paraId="5EFF4AE7">
      <w:pPr>
        <w:pStyle w:val="4"/>
        <w:numPr>
          <w:ilvl w:val="0"/>
          <w:numId w:val="38"/>
        </w:numPr>
      </w:pPr>
      <w:r>
        <w:t>多个信号对同一资产产生反向偏离时，取净值</w:t>
      </w:r>
    </w:p>
    <w:p w14:paraId="38EE04CE">
      <w:pPr>
        <w:pStyle w:val="4"/>
        <w:numPr>
          <w:ilvl w:val="0"/>
          <w:numId w:val="38"/>
        </w:numPr>
      </w:pPr>
      <w:r>
        <w:rPr>
          <w:b/>
        </w:rPr>
        <w:t>Layer 4.5 人类裁决接口触发期间</w:t>
      </w:r>
      <w:r>
        <w:t>，Alpha 偏离全部暂停，仅维持 Beta 基准</w:t>
      </w:r>
    </w:p>
    <w:p w14:paraId="6A1880FD">
      <w:pPr>
        <w:pBdr>
          <w:bottom w:val="single" w:color="auto" w:sz="8" w:space="0"/>
        </w:pBdr>
      </w:pPr>
    </w:p>
    <w:p w14:paraId="153ED5BD">
      <w:pPr>
        <w:pStyle w:val="9"/>
      </w:pPr>
      <w:r>
        <w:t>5.4 行业景气映射</w:t>
      </w:r>
    </w:p>
    <w:p w14:paraId="2837222E">
      <w:pPr>
        <w:pStyle w:val="4"/>
      </w:pPr>
      <w:r>
        <w:t>行业景气映射模块作为 Alpha 偏离的细粒度指引：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E26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2B13BF5">
            <w:pPr>
              <w:jc w:val="left"/>
            </w:pPr>
            <w:r>
              <w:t>模块内容</w:t>
            </w:r>
          </w:p>
        </w:tc>
        <w:tc>
          <w:tcPr>
            <w:tcW w:w="2768" w:type="dxa"/>
            <w:vAlign w:val="center"/>
          </w:tcPr>
          <w:p w14:paraId="6AC04E9C">
            <w:pPr>
              <w:jc w:val="left"/>
            </w:pPr>
            <w:r>
              <w:t>说明</w:t>
            </w:r>
          </w:p>
        </w:tc>
        <w:tc>
          <w:tcPr>
            <w:tcW w:w="2768" w:type="dxa"/>
            <w:vAlign w:val="center"/>
          </w:tcPr>
          <w:p w14:paraId="09E67978">
            <w:pPr>
              <w:jc w:val="left"/>
            </w:pPr>
            <w:r>
              <w:t>数据来源</w:t>
            </w:r>
          </w:p>
        </w:tc>
      </w:tr>
      <w:tr w14:paraId="7D2E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FDB4DA2">
            <w:pPr>
              <w:jc w:val="left"/>
            </w:pPr>
            <w:r>
              <w:rPr>
                <w:b/>
              </w:rPr>
              <w:t>A 股行业轮动表</w:t>
            </w:r>
          </w:p>
        </w:tc>
        <w:tc>
          <w:tcPr>
            <w:tcW w:w="2768" w:type="dxa"/>
            <w:vAlign w:val="center"/>
          </w:tcPr>
          <w:p w14:paraId="5F5CAF18">
            <w:pPr>
              <w:jc w:val="left"/>
            </w:pPr>
            <w:r>
              <w:t>申万一级行业景气方向（↗/↘/—）+ 量化评分</w:t>
            </w:r>
          </w:p>
        </w:tc>
        <w:tc>
          <w:tcPr>
            <w:tcW w:w="2768" w:type="dxa"/>
            <w:vAlign w:val="center"/>
          </w:tcPr>
          <w:p w14:paraId="37DA12B1">
            <w:pPr>
              <w:jc w:val="left"/>
            </w:pPr>
            <w:r>
              <w:t>Wind / 行业高频指标</w:t>
            </w:r>
          </w:p>
        </w:tc>
      </w:tr>
      <w:tr w14:paraId="47C7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020EC2">
            <w:pPr>
              <w:jc w:val="left"/>
            </w:pPr>
            <w:r>
              <w:rPr>
                <w:b/>
              </w:rPr>
              <w:t>美股行业轮动表</w:t>
            </w:r>
          </w:p>
        </w:tc>
        <w:tc>
          <w:tcPr>
            <w:tcW w:w="2768" w:type="dxa"/>
            <w:vAlign w:val="center"/>
          </w:tcPr>
          <w:p w14:paraId="458CC08C">
            <w:pPr>
              <w:jc w:val="left"/>
            </w:pPr>
            <w:r>
              <w:t>GICS 一级行业景气方向 + 量化评分</w:t>
            </w:r>
          </w:p>
        </w:tc>
        <w:tc>
          <w:tcPr>
            <w:tcW w:w="2768" w:type="dxa"/>
            <w:vAlign w:val="center"/>
          </w:tcPr>
          <w:p w14:paraId="26293B50">
            <w:pPr>
              <w:jc w:val="left"/>
            </w:pPr>
            <w:r>
              <w:t>Bloomberg / ISM 行业 PMI</w:t>
            </w:r>
          </w:p>
        </w:tc>
      </w:tr>
      <w:tr w14:paraId="69F5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3D3184F">
            <w:pPr>
              <w:jc w:val="left"/>
            </w:pPr>
            <w:r>
              <w:rPr>
                <w:b/>
              </w:rPr>
              <w:t>行业景气跟踪指标</w:t>
            </w:r>
          </w:p>
        </w:tc>
        <w:tc>
          <w:tcPr>
            <w:tcW w:w="2768" w:type="dxa"/>
            <w:vAlign w:val="center"/>
          </w:tcPr>
          <w:p w14:paraId="07D553ED">
            <w:pPr>
              <w:jc w:val="left"/>
            </w:pPr>
            <w:r>
              <w:t>各行业核心高频/月频指标及阈值</w:t>
            </w:r>
          </w:p>
        </w:tc>
        <w:tc>
          <w:tcPr>
            <w:tcW w:w="2768" w:type="dxa"/>
            <w:vAlign w:val="center"/>
          </w:tcPr>
          <w:p w14:paraId="66A78A49">
            <w:pPr>
              <w:jc w:val="left"/>
            </w:pPr>
            <w:r>
              <w:t>各行业数据源</w:t>
            </w:r>
          </w:p>
        </w:tc>
      </w:tr>
      <w:tr w14:paraId="3417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33D3D88">
            <w:pPr>
              <w:jc w:val="left"/>
            </w:pPr>
            <w:r>
              <w:rPr>
                <w:b/>
              </w:rPr>
              <w:t>量化评分公式</w:t>
            </w:r>
          </w:p>
        </w:tc>
        <w:tc>
          <w:tcPr>
            <w:tcW w:w="2768" w:type="dxa"/>
            <w:vAlign w:val="center"/>
          </w:tcPr>
          <w:p w14:paraId="0733266A">
            <w:pPr>
              <w:jc w:val="left"/>
            </w:pPr>
            <w:r>
              <w:t>景气得分 = 趋势分（0-5）+ 动量分（0-3）+ 预期差分（0-2），满分 10 分</w:t>
            </w:r>
          </w:p>
        </w:tc>
        <w:tc>
          <w:tcPr>
            <w:tcW w:w="2768" w:type="dxa"/>
            <w:vAlign w:val="center"/>
          </w:tcPr>
          <w:p w14:paraId="3ACCAB57">
            <w:pPr>
              <w:jc w:val="left"/>
            </w:pPr>
            <w:r>
              <w:t>自算</w:t>
            </w:r>
          </w:p>
        </w:tc>
      </w:tr>
    </w:tbl>
    <w:p w14:paraId="2DCA23C7">
      <w:pPr>
        <w:pStyle w:val="4"/>
      </w:pPr>
      <w:r>
        <w:rPr>
          <w:b/>
        </w:rPr>
        <w:t>与信号层的衔接：</w:t>
      </w:r>
      <w:r>
        <w:t xml:space="preserve"> 行业景气映射模块的输入增加 Layer 4 预期差信号——行业量化评分公式中的"预期差分"由 Layer 4 对应预期差信号的强度百分位映射而来（80% → 2 分，60% → 1.5 分，50% → 1 分，&lt; 50% → 0 分）。</w:t>
      </w:r>
    </w:p>
    <w:p w14:paraId="107FB85D">
      <w:pPr>
        <w:pBdr>
          <w:bottom w:val="single" w:color="auto" w:sz="8" w:space="0"/>
        </w:pBdr>
      </w:pPr>
    </w:p>
    <w:p w14:paraId="395C5BCD">
      <w:pPr>
        <w:pStyle w:val="8"/>
      </w:pPr>
      <w:r>
        <w:t>A 股行业轮动映射表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D75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A499B14">
            <w:pPr>
              <w:jc w:val="left"/>
            </w:pPr>
            <w:r>
              <w:t>周期阶段</w:t>
            </w:r>
          </w:p>
        </w:tc>
        <w:tc>
          <w:tcPr>
            <w:tcW w:w="1661" w:type="dxa"/>
            <w:vAlign w:val="center"/>
          </w:tcPr>
          <w:p w14:paraId="1B798EBD">
            <w:pPr>
              <w:jc w:val="left"/>
            </w:pPr>
            <w:r>
              <w:t>领先受益行业</w:t>
            </w:r>
          </w:p>
        </w:tc>
        <w:tc>
          <w:tcPr>
            <w:tcW w:w="1661" w:type="dxa"/>
            <w:vAlign w:val="center"/>
          </w:tcPr>
          <w:p w14:paraId="7AA3B24A">
            <w:pPr>
              <w:jc w:val="left"/>
            </w:pPr>
            <w:r>
              <w:t>防御性行业</w:t>
            </w:r>
          </w:p>
        </w:tc>
        <w:tc>
          <w:tcPr>
            <w:tcW w:w="1661" w:type="dxa"/>
            <w:vAlign w:val="center"/>
          </w:tcPr>
          <w:p w14:paraId="57F039EC">
            <w:pPr>
              <w:jc w:val="left"/>
            </w:pPr>
            <w:r>
              <w:t>规避行业</w:t>
            </w:r>
          </w:p>
        </w:tc>
        <w:tc>
          <w:tcPr>
            <w:tcW w:w="1661" w:type="dxa"/>
            <w:vAlign w:val="center"/>
          </w:tcPr>
          <w:p w14:paraId="16881BDD">
            <w:pPr>
              <w:jc w:val="left"/>
            </w:pPr>
            <w:r>
              <w:t>政策观察点</w:t>
            </w:r>
          </w:p>
        </w:tc>
      </w:tr>
      <w:tr w14:paraId="1CA7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2EE49A0">
            <w:pPr>
              <w:jc w:val="left"/>
            </w:pPr>
            <w:r>
              <w:rPr>
                <w:b/>
              </w:rPr>
              <w:t>复苏周期</w:t>
            </w:r>
          </w:p>
        </w:tc>
        <w:tc>
          <w:tcPr>
            <w:tcW w:w="1661" w:type="dxa"/>
            <w:vAlign w:val="center"/>
          </w:tcPr>
          <w:p w14:paraId="111EEBB4">
            <w:pPr>
              <w:jc w:val="left"/>
            </w:pPr>
            <w:r>
              <w:t>AI/半导体、新能源车、高端装备、可选消费</w:t>
            </w:r>
          </w:p>
        </w:tc>
        <w:tc>
          <w:tcPr>
            <w:tcW w:w="1661" w:type="dxa"/>
            <w:vAlign w:val="center"/>
          </w:tcPr>
          <w:p w14:paraId="03FD2204">
            <w:pPr>
              <w:jc w:val="left"/>
            </w:pPr>
            <w:r>
              <w:t>消费、医药</w:t>
            </w:r>
          </w:p>
        </w:tc>
        <w:tc>
          <w:tcPr>
            <w:tcW w:w="1661" w:type="dxa"/>
            <w:vAlign w:val="center"/>
          </w:tcPr>
          <w:p w14:paraId="166B5412">
            <w:pPr>
              <w:jc w:val="left"/>
            </w:pPr>
            <w:r>
              <w:t>传统周期资源、纯主题板块</w:t>
            </w:r>
          </w:p>
        </w:tc>
        <w:tc>
          <w:tcPr>
            <w:tcW w:w="1661" w:type="dxa"/>
            <w:vAlign w:val="center"/>
          </w:tcPr>
          <w:p w14:paraId="1BFF6746">
            <w:pPr>
              <w:jc w:val="left"/>
            </w:pPr>
            <w:r>
              <w:t>降准降息落地、AI 产业政策出台、专项债发行加速</w:t>
            </w:r>
          </w:p>
        </w:tc>
      </w:tr>
      <w:tr w14:paraId="30CA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5F7DB8E">
            <w:pPr>
              <w:jc w:val="left"/>
            </w:pPr>
            <w:r>
              <w:rPr>
                <w:b/>
              </w:rPr>
              <w:t>扩张周期</w:t>
            </w:r>
          </w:p>
        </w:tc>
        <w:tc>
          <w:tcPr>
            <w:tcW w:w="1661" w:type="dxa"/>
            <w:vAlign w:val="center"/>
          </w:tcPr>
          <w:p w14:paraId="58925EC2">
            <w:pPr>
              <w:jc w:val="left"/>
            </w:pPr>
            <w:r>
              <w:t>新能源（储能/光伏）、工业机械、半导体设备、出口链</w:t>
            </w:r>
          </w:p>
        </w:tc>
        <w:tc>
          <w:tcPr>
            <w:tcW w:w="1661" w:type="dxa"/>
            <w:vAlign w:val="center"/>
          </w:tcPr>
          <w:p w14:paraId="771D8936">
            <w:pPr>
              <w:jc w:val="left"/>
            </w:pPr>
            <w:r>
              <w:t>银行（估值回归稳定）</w:t>
            </w:r>
          </w:p>
        </w:tc>
        <w:tc>
          <w:tcPr>
            <w:tcW w:w="1661" w:type="dxa"/>
            <w:vAlign w:val="center"/>
          </w:tcPr>
          <w:p w14:paraId="012602A6">
            <w:pPr>
              <w:jc w:val="left"/>
            </w:pPr>
            <w:r>
              <w:t>强周期资源类（高位兑现）</w:t>
            </w:r>
          </w:p>
        </w:tc>
        <w:tc>
          <w:tcPr>
            <w:tcW w:w="1661" w:type="dxa"/>
            <w:vAlign w:val="center"/>
          </w:tcPr>
          <w:p w14:paraId="1C734802">
            <w:pPr>
              <w:jc w:val="left"/>
            </w:pPr>
            <w:r>
              <w:t>产业政策定向支持、出口退税调整、外资准入放开</w:t>
            </w:r>
          </w:p>
        </w:tc>
      </w:tr>
      <w:tr w14:paraId="28A7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C486250">
            <w:pPr>
              <w:jc w:val="left"/>
            </w:pPr>
            <w:r>
              <w:rPr>
                <w:b/>
              </w:rPr>
              <w:t>滞胀周期</w:t>
            </w:r>
          </w:p>
        </w:tc>
        <w:tc>
          <w:tcPr>
            <w:tcW w:w="1661" w:type="dxa"/>
            <w:vAlign w:val="center"/>
          </w:tcPr>
          <w:p w14:paraId="3342A577">
            <w:pPr>
              <w:jc w:val="left"/>
            </w:pPr>
            <w:r>
              <w:t>黄金、AI 基础设施（算力不受周期影响）、必选消费</w:t>
            </w:r>
          </w:p>
        </w:tc>
        <w:tc>
          <w:tcPr>
            <w:tcW w:w="1661" w:type="dxa"/>
            <w:vAlign w:val="center"/>
          </w:tcPr>
          <w:p w14:paraId="5695919B">
            <w:pPr>
              <w:jc w:val="left"/>
            </w:pPr>
            <w:r>
              <w:t>公用事业</w:t>
            </w:r>
          </w:p>
        </w:tc>
        <w:tc>
          <w:tcPr>
            <w:tcW w:w="1661" w:type="dxa"/>
            <w:vAlign w:val="center"/>
          </w:tcPr>
          <w:p w14:paraId="20AD35E1">
            <w:pPr>
              <w:jc w:val="left"/>
            </w:pPr>
            <w:r>
              <w:t>高杠杆成长</w:t>
            </w:r>
          </w:p>
        </w:tc>
        <w:tc>
          <w:tcPr>
            <w:tcW w:w="1661" w:type="dxa"/>
            <w:vAlign w:val="center"/>
          </w:tcPr>
          <w:p w14:paraId="768D17BF">
            <w:pPr>
              <w:jc w:val="left"/>
            </w:pPr>
            <w:r>
              <w:t>价格管控政策、科技安全政策</w:t>
            </w:r>
          </w:p>
        </w:tc>
      </w:tr>
      <w:tr w14:paraId="67F9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FE7E3D">
            <w:pPr>
              <w:jc w:val="left"/>
            </w:pPr>
            <w:r>
              <w:rPr>
                <w:b/>
              </w:rPr>
              <w:t>衰退周期</w:t>
            </w:r>
          </w:p>
        </w:tc>
        <w:tc>
          <w:tcPr>
            <w:tcW w:w="1661" w:type="dxa"/>
            <w:vAlign w:val="center"/>
          </w:tcPr>
          <w:p w14:paraId="5F7A0727">
            <w:pPr>
              <w:jc w:val="left"/>
            </w:pPr>
            <w:r>
              <w:t>AI/云计算（抗周期）、高股息/红利、必选消费</w:t>
            </w:r>
          </w:p>
        </w:tc>
        <w:tc>
          <w:tcPr>
            <w:tcW w:w="1661" w:type="dxa"/>
            <w:vAlign w:val="center"/>
          </w:tcPr>
          <w:p w14:paraId="4300C86C">
            <w:pPr>
              <w:jc w:val="left"/>
            </w:pPr>
            <w:r>
              <w:t>高分红红利资产</w:t>
            </w:r>
          </w:p>
        </w:tc>
        <w:tc>
          <w:tcPr>
            <w:tcW w:w="1661" w:type="dxa"/>
            <w:vAlign w:val="center"/>
          </w:tcPr>
          <w:p w14:paraId="5809A616">
            <w:pPr>
              <w:jc w:val="left"/>
            </w:pPr>
            <w:r>
              <w:t>传统强周期、可选消费</w:t>
            </w:r>
          </w:p>
        </w:tc>
        <w:tc>
          <w:tcPr>
            <w:tcW w:w="1661" w:type="dxa"/>
            <w:vAlign w:val="center"/>
          </w:tcPr>
          <w:p w14:paraId="00557457">
            <w:pPr>
              <w:jc w:val="left"/>
            </w:pPr>
            <w:r>
              <w:t>降息预期、AI 资本开支韧性验证、财政刺激信号</w:t>
            </w:r>
          </w:p>
        </w:tc>
      </w:tr>
    </w:tbl>
    <w:p w14:paraId="1BCE335F">
      <w:pPr>
        <w:pBdr>
          <w:bottom w:val="single" w:color="auto" w:sz="8" w:space="0"/>
        </w:pBdr>
      </w:pPr>
    </w:p>
    <w:p w14:paraId="7059068A">
      <w:pPr>
        <w:pStyle w:val="8"/>
      </w:pPr>
      <w:r>
        <w:t>美股行业轮动映射表（GICS 分类）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508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FF582FD">
            <w:pPr>
              <w:jc w:val="left"/>
            </w:pPr>
            <w:r>
              <w:t>周期阶段</w:t>
            </w:r>
          </w:p>
        </w:tc>
        <w:tc>
          <w:tcPr>
            <w:tcW w:w="1661" w:type="dxa"/>
            <w:vAlign w:val="center"/>
          </w:tcPr>
          <w:p w14:paraId="246B476E">
            <w:pPr>
              <w:jc w:val="left"/>
            </w:pPr>
            <w:r>
              <w:t>领先受益板块</w:t>
            </w:r>
          </w:p>
        </w:tc>
        <w:tc>
          <w:tcPr>
            <w:tcW w:w="1661" w:type="dxa"/>
            <w:vAlign w:val="center"/>
          </w:tcPr>
          <w:p w14:paraId="44346C55">
            <w:pPr>
              <w:jc w:val="left"/>
            </w:pPr>
            <w:r>
              <w:t>防御板块</w:t>
            </w:r>
          </w:p>
        </w:tc>
        <w:tc>
          <w:tcPr>
            <w:tcW w:w="1661" w:type="dxa"/>
            <w:vAlign w:val="center"/>
          </w:tcPr>
          <w:p w14:paraId="7AD9FAED">
            <w:pPr>
              <w:jc w:val="left"/>
            </w:pPr>
            <w:r>
              <w:t>规避板块</w:t>
            </w:r>
          </w:p>
        </w:tc>
        <w:tc>
          <w:tcPr>
            <w:tcW w:w="1661" w:type="dxa"/>
            <w:vAlign w:val="center"/>
          </w:tcPr>
          <w:p w14:paraId="49FDAAE9">
            <w:pPr>
              <w:jc w:val="left"/>
            </w:pPr>
            <w:r>
              <w:t>核心观察指标</w:t>
            </w:r>
          </w:p>
        </w:tc>
      </w:tr>
      <w:tr w14:paraId="1E924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E36CC4F">
            <w:pPr>
              <w:jc w:val="left"/>
            </w:pPr>
            <w:r>
              <w:rPr>
                <w:b/>
              </w:rPr>
              <w:t>复苏周期</w:t>
            </w:r>
          </w:p>
        </w:tc>
        <w:tc>
          <w:tcPr>
            <w:tcW w:w="1661" w:type="dxa"/>
            <w:vAlign w:val="center"/>
          </w:tcPr>
          <w:p w14:paraId="0BF32649">
            <w:pPr>
              <w:jc w:val="left"/>
            </w:pPr>
            <w:r>
              <w:t>金融（Banks/Brokers）、工业（Industrials）、可选消费（Consumer Disc）、云计算</w:t>
            </w:r>
          </w:p>
        </w:tc>
        <w:tc>
          <w:tcPr>
            <w:tcW w:w="1661" w:type="dxa"/>
            <w:vAlign w:val="center"/>
          </w:tcPr>
          <w:p w14:paraId="1A9E5D23">
            <w:pPr>
              <w:jc w:val="left"/>
            </w:pPr>
            <w:r>
              <w:t>消费、医疗健康</w:t>
            </w:r>
          </w:p>
        </w:tc>
        <w:tc>
          <w:tcPr>
            <w:tcW w:w="1661" w:type="dxa"/>
            <w:vAlign w:val="center"/>
          </w:tcPr>
          <w:p w14:paraId="299FBC41">
            <w:pPr>
              <w:jc w:val="left"/>
            </w:pPr>
            <w:r>
              <w:t>公用事业（估值偏高）</w:t>
            </w:r>
          </w:p>
        </w:tc>
        <w:tc>
          <w:tcPr>
            <w:tcW w:w="1661" w:type="dxa"/>
            <w:vAlign w:val="center"/>
          </w:tcPr>
          <w:p w14:paraId="7CCC42D5">
            <w:pPr>
              <w:jc w:val="left"/>
            </w:pPr>
            <w:r>
              <w:t>信贷增速、消费信心指数、ISM 服务业 PMI</w:t>
            </w:r>
          </w:p>
        </w:tc>
      </w:tr>
      <w:tr w14:paraId="3CFEA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82DD802">
            <w:pPr>
              <w:jc w:val="left"/>
            </w:pPr>
            <w:r>
              <w:rPr>
                <w:b/>
              </w:rPr>
              <w:t>扩张周期</w:t>
            </w:r>
          </w:p>
        </w:tc>
        <w:tc>
          <w:tcPr>
            <w:tcW w:w="1661" w:type="dxa"/>
            <w:vAlign w:val="center"/>
          </w:tcPr>
          <w:p w14:paraId="06121E96">
            <w:pPr>
              <w:jc w:val="left"/>
            </w:pPr>
            <w:r>
              <w:t>科技（AI 基础设施/半导体）、通信服务、云计算</w:t>
            </w:r>
          </w:p>
        </w:tc>
        <w:tc>
          <w:tcPr>
            <w:tcW w:w="1661" w:type="dxa"/>
            <w:vAlign w:val="center"/>
          </w:tcPr>
          <w:p w14:paraId="56B010E0">
            <w:pPr>
              <w:jc w:val="left"/>
            </w:pPr>
            <w:r>
              <w:t>金融（利率环境利好）</w:t>
            </w:r>
          </w:p>
        </w:tc>
        <w:tc>
          <w:tcPr>
            <w:tcW w:w="1661" w:type="dxa"/>
            <w:vAlign w:val="center"/>
          </w:tcPr>
          <w:p w14:paraId="3299CF9C">
            <w:pPr>
              <w:jc w:val="left"/>
            </w:pPr>
            <w:r>
              <w:t>高债务成长股</w:t>
            </w:r>
          </w:p>
        </w:tc>
        <w:tc>
          <w:tcPr>
            <w:tcW w:w="1661" w:type="dxa"/>
            <w:vAlign w:val="center"/>
          </w:tcPr>
          <w:p w14:paraId="481B26F1">
            <w:pPr>
              <w:jc w:val="left"/>
            </w:pPr>
            <w:r>
              <w:t>标普 500 EPS 修正方向、纳斯达克成分 EPS 增速、AI 资本开支</w:t>
            </w:r>
          </w:p>
        </w:tc>
      </w:tr>
      <w:tr w14:paraId="6B2F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E70CFCC">
            <w:pPr>
              <w:jc w:val="left"/>
            </w:pPr>
            <w:r>
              <w:rPr>
                <w:b/>
              </w:rPr>
              <w:t>滞胀周期</w:t>
            </w:r>
          </w:p>
        </w:tc>
        <w:tc>
          <w:tcPr>
            <w:tcW w:w="1661" w:type="dxa"/>
            <w:vAlign w:val="center"/>
          </w:tcPr>
          <w:p w14:paraId="482A7FE5">
            <w:pPr>
              <w:jc w:val="left"/>
            </w:pPr>
            <w:r>
              <w:t>能源（上游 E&amp;P）、材料（大宗资源）、医疗健康</w:t>
            </w:r>
          </w:p>
        </w:tc>
        <w:tc>
          <w:tcPr>
            <w:tcW w:w="1661" w:type="dxa"/>
            <w:vAlign w:val="center"/>
          </w:tcPr>
          <w:p w14:paraId="122949D9">
            <w:pPr>
              <w:jc w:val="left"/>
            </w:pPr>
            <w:r>
              <w:t>必选消费</w:t>
            </w:r>
          </w:p>
        </w:tc>
        <w:tc>
          <w:tcPr>
            <w:tcW w:w="1661" w:type="dxa"/>
            <w:vAlign w:val="center"/>
          </w:tcPr>
          <w:p w14:paraId="7BCDD7F2">
            <w:pPr>
              <w:jc w:val="left"/>
            </w:pPr>
            <w:r>
              <w:t>高 PE 科技、利率敏感型 REITs</w:t>
            </w:r>
          </w:p>
        </w:tc>
        <w:tc>
          <w:tcPr>
            <w:tcW w:w="1661" w:type="dxa"/>
            <w:vAlign w:val="center"/>
          </w:tcPr>
          <w:p w14:paraId="4DE6830E">
            <w:pPr>
              <w:jc w:val="left"/>
            </w:pPr>
            <w:r>
              <w:t>核心 PCE 环比变动、油价/铜价趋势、TIPS 实际利率</w:t>
            </w:r>
          </w:p>
        </w:tc>
      </w:tr>
      <w:tr w14:paraId="2D6A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EE36246">
            <w:pPr>
              <w:jc w:val="left"/>
            </w:pPr>
            <w:r>
              <w:rPr>
                <w:b/>
              </w:rPr>
              <w:t>衰退周期</w:t>
            </w:r>
          </w:p>
        </w:tc>
        <w:tc>
          <w:tcPr>
            <w:tcW w:w="1661" w:type="dxa"/>
            <w:vAlign w:val="center"/>
          </w:tcPr>
          <w:p w14:paraId="53F18696">
            <w:pPr>
              <w:jc w:val="left"/>
            </w:pPr>
            <w:r>
              <w:t>必选消费（Staples）、医疗健康（Healthcare）、公用事业（Utilities）、黄金矿业</w:t>
            </w:r>
          </w:p>
        </w:tc>
        <w:tc>
          <w:tcPr>
            <w:tcW w:w="1661" w:type="dxa"/>
            <w:vAlign w:val="center"/>
          </w:tcPr>
          <w:p w14:paraId="15E23091">
            <w:pPr>
              <w:jc w:val="left"/>
            </w:pPr>
            <w:r>
              <w:t>短久期国债</w:t>
            </w:r>
          </w:p>
        </w:tc>
        <w:tc>
          <w:tcPr>
            <w:tcW w:w="1661" w:type="dxa"/>
            <w:vAlign w:val="center"/>
          </w:tcPr>
          <w:p w14:paraId="3C618A58">
            <w:pPr>
              <w:jc w:val="left"/>
            </w:pPr>
            <w:r>
              <w:t>科技/工业/金融</w:t>
            </w:r>
          </w:p>
        </w:tc>
        <w:tc>
          <w:tcPr>
            <w:tcW w:w="1661" w:type="dxa"/>
            <w:vAlign w:val="center"/>
          </w:tcPr>
          <w:p w14:paraId="747E652E">
            <w:pPr>
              <w:jc w:val="left"/>
            </w:pPr>
            <w:r>
              <w:t>失业率趋势、收益率曲线形态、IG 信用利差扩张速度</w:t>
            </w:r>
          </w:p>
        </w:tc>
      </w:tr>
    </w:tbl>
    <w:p w14:paraId="2A106472">
      <w:pPr>
        <w:pBdr>
          <w:bottom w:val="single" w:color="auto" w:sz="8" w:space="0"/>
        </w:pBdr>
      </w:pPr>
    </w:p>
    <w:p w14:paraId="318A5600">
      <w:pPr>
        <w:pStyle w:val="8"/>
      </w:pPr>
      <w:r>
        <w:t>行业景气跟踪指标清单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C19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A5057A6">
            <w:pPr>
              <w:jc w:val="left"/>
            </w:pPr>
            <w:r>
              <w:t>行业方向</w:t>
            </w:r>
          </w:p>
        </w:tc>
        <w:tc>
          <w:tcPr>
            <w:tcW w:w="2076" w:type="dxa"/>
            <w:vAlign w:val="center"/>
          </w:tcPr>
          <w:p w14:paraId="2413E7D9">
            <w:pPr>
              <w:jc w:val="left"/>
            </w:pPr>
            <w:r>
              <w:t>核心跟踪指标</w:t>
            </w:r>
          </w:p>
        </w:tc>
        <w:tc>
          <w:tcPr>
            <w:tcW w:w="2076" w:type="dxa"/>
            <w:vAlign w:val="center"/>
          </w:tcPr>
          <w:p w14:paraId="62D9DF77">
            <w:pPr>
              <w:jc w:val="left"/>
            </w:pPr>
            <w:r>
              <w:t>更新频率</w:t>
            </w:r>
          </w:p>
        </w:tc>
        <w:tc>
          <w:tcPr>
            <w:tcW w:w="2076" w:type="dxa"/>
            <w:vAlign w:val="center"/>
          </w:tcPr>
          <w:p w14:paraId="7A03882C">
            <w:pPr>
              <w:jc w:val="left"/>
            </w:pPr>
            <w:r>
              <w:t>数据来源</w:t>
            </w:r>
          </w:p>
        </w:tc>
      </w:tr>
      <w:tr w14:paraId="561D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4DF983F">
            <w:pPr>
              <w:jc w:val="left"/>
            </w:pPr>
            <w:r>
              <w:rPr>
                <w:b/>
              </w:rPr>
              <w:t>A股 - 科技/半导体</w:t>
            </w:r>
          </w:p>
        </w:tc>
        <w:tc>
          <w:tcPr>
            <w:tcW w:w="2076" w:type="dxa"/>
            <w:vAlign w:val="center"/>
          </w:tcPr>
          <w:p w14:paraId="77D9DFF6">
            <w:pPr>
              <w:jc w:val="left"/>
            </w:pPr>
            <w:r>
              <w:t>全球半导体销售额同比、台积电月营收同比、中国半导体进口金额</w:t>
            </w:r>
          </w:p>
        </w:tc>
        <w:tc>
          <w:tcPr>
            <w:tcW w:w="2076" w:type="dxa"/>
            <w:vAlign w:val="center"/>
          </w:tcPr>
          <w:p w14:paraId="7F3098CF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345B814B">
            <w:pPr>
              <w:jc w:val="left"/>
            </w:pPr>
            <w:r>
              <w:t>SIA / 台积电官网 / 海关总署</w:t>
            </w:r>
          </w:p>
        </w:tc>
      </w:tr>
      <w:tr w14:paraId="65EC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07C5F99">
            <w:pPr>
              <w:jc w:val="left"/>
            </w:pPr>
            <w:r>
              <w:rPr>
                <w:b/>
              </w:rPr>
              <w:t>A股 - 新能源/储能</w:t>
            </w:r>
          </w:p>
        </w:tc>
        <w:tc>
          <w:tcPr>
            <w:tcW w:w="2076" w:type="dxa"/>
            <w:vAlign w:val="center"/>
          </w:tcPr>
          <w:p w14:paraId="2C88FB40">
            <w:pPr>
              <w:jc w:val="left"/>
            </w:pPr>
            <w:r>
              <w:t>国内光伏新增装机量、动力电池装车量</w:t>
            </w:r>
          </w:p>
        </w:tc>
        <w:tc>
          <w:tcPr>
            <w:tcW w:w="2076" w:type="dxa"/>
            <w:vAlign w:val="center"/>
          </w:tcPr>
          <w:p w14:paraId="002508EE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3A278342">
            <w:pPr>
              <w:jc w:val="left"/>
            </w:pPr>
            <w:r>
              <w:t>国家能源局 / 中汽协</w:t>
            </w:r>
          </w:p>
        </w:tc>
      </w:tr>
      <w:tr w14:paraId="3A0A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B51EBEA">
            <w:pPr>
              <w:jc w:val="left"/>
            </w:pPr>
            <w:r>
              <w:rPr>
                <w:b/>
              </w:rPr>
              <w:t>A股 - 消费/零售</w:t>
            </w:r>
          </w:p>
        </w:tc>
        <w:tc>
          <w:tcPr>
            <w:tcW w:w="2076" w:type="dxa"/>
            <w:vAlign w:val="center"/>
          </w:tcPr>
          <w:p w14:paraId="2828940C">
            <w:pPr>
              <w:jc w:val="left"/>
            </w:pPr>
            <w:r>
              <w:t>社会消费品零售总额同比、餐饮收入同比</w:t>
            </w:r>
          </w:p>
        </w:tc>
        <w:tc>
          <w:tcPr>
            <w:tcW w:w="2076" w:type="dxa"/>
            <w:vAlign w:val="center"/>
          </w:tcPr>
          <w:p w14:paraId="6FF65D6C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2649E3D5">
            <w:pPr>
              <w:jc w:val="left"/>
            </w:pPr>
            <w:r>
              <w:t>国家统计局</w:t>
            </w:r>
          </w:p>
        </w:tc>
      </w:tr>
      <w:tr w14:paraId="52FF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3AE2788">
            <w:pPr>
              <w:jc w:val="left"/>
            </w:pPr>
            <w:r>
              <w:rPr>
                <w:b/>
              </w:rPr>
              <w:t>A股 - AI/算力</w:t>
            </w:r>
          </w:p>
        </w:tc>
        <w:tc>
          <w:tcPr>
            <w:tcW w:w="2076" w:type="dxa"/>
            <w:vAlign w:val="center"/>
          </w:tcPr>
          <w:p w14:paraId="78E4F353">
            <w:pPr>
              <w:jc w:val="left"/>
            </w:pPr>
            <w:r>
              <w:t>AI 服务器出货量、GPU 进口金额、数据中心在建规模</w:t>
            </w:r>
          </w:p>
        </w:tc>
        <w:tc>
          <w:tcPr>
            <w:tcW w:w="2076" w:type="dxa"/>
            <w:vAlign w:val="center"/>
          </w:tcPr>
          <w:p w14:paraId="7DB28A61">
            <w:pPr>
              <w:jc w:val="left"/>
            </w:pPr>
            <w:r>
              <w:t>月度/季度</w:t>
            </w:r>
          </w:p>
        </w:tc>
        <w:tc>
          <w:tcPr>
            <w:tcW w:w="2076" w:type="dxa"/>
            <w:vAlign w:val="center"/>
          </w:tcPr>
          <w:p w14:paraId="5A7AFCE7">
            <w:pPr>
              <w:jc w:val="left"/>
            </w:pPr>
            <w:r>
              <w:t>工信部 / 海关总署 / Wind</w:t>
            </w:r>
          </w:p>
        </w:tc>
      </w:tr>
      <w:tr w14:paraId="2B0D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2E6D350">
            <w:pPr>
              <w:jc w:val="left"/>
            </w:pPr>
            <w:r>
              <w:rPr>
                <w:b/>
              </w:rPr>
              <w:t>A股 - 银行/金融</w:t>
            </w:r>
          </w:p>
        </w:tc>
        <w:tc>
          <w:tcPr>
            <w:tcW w:w="2076" w:type="dxa"/>
            <w:vAlign w:val="center"/>
          </w:tcPr>
          <w:p w14:paraId="242FF6BA">
            <w:pPr>
              <w:jc w:val="left"/>
            </w:pPr>
            <w:r>
              <w:t>银行净息差（季报）、不良贷款率趋势（季报）、社融-M2 剪刀差</w:t>
            </w:r>
          </w:p>
        </w:tc>
        <w:tc>
          <w:tcPr>
            <w:tcW w:w="2076" w:type="dxa"/>
            <w:vAlign w:val="center"/>
          </w:tcPr>
          <w:p w14:paraId="337C494C">
            <w:pPr>
              <w:jc w:val="left"/>
            </w:pPr>
            <w:r>
              <w:t>季度/月度</w:t>
            </w:r>
          </w:p>
        </w:tc>
        <w:tc>
          <w:tcPr>
            <w:tcW w:w="2076" w:type="dxa"/>
            <w:vAlign w:val="center"/>
          </w:tcPr>
          <w:p w14:paraId="2648873D">
            <w:pPr>
              <w:jc w:val="left"/>
            </w:pPr>
            <w:r>
              <w:t>各行财报 / 人民银行</w:t>
            </w:r>
          </w:p>
        </w:tc>
      </w:tr>
      <w:tr w14:paraId="3166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6783F5E">
            <w:pPr>
              <w:jc w:val="left"/>
            </w:pPr>
            <w:r>
              <w:rPr>
                <w:b/>
              </w:rPr>
              <w:t>美股 - 科技/AI</w:t>
            </w:r>
          </w:p>
        </w:tc>
        <w:tc>
          <w:tcPr>
            <w:tcW w:w="2076" w:type="dxa"/>
            <w:vAlign w:val="center"/>
          </w:tcPr>
          <w:p w14:paraId="20B8850C">
            <w:pPr>
              <w:jc w:val="left"/>
            </w:pPr>
            <w:r>
              <w:t>美国云计算支出（AWS/Azure/GCP 收入增速）、AI 算力需求（GPU 出货量）</w:t>
            </w:r>
          </w:p>
        </w:tc>
        <w:tc>
          <w:tcPr>
            <w:tcW w:w="2076" w:type="dxa"/>
            <w:vAlign w:val="center"/>
          </w:tcPr>
          <w:p w14:paraId="09E17DEF">
            <w:pPr>
              <w:jc w:val="left"/>
            </w:pPr>
            <w:r>
              <w:t>季度财报</w:t>
            </w:r>
          </w:p>
        </w:tc>
        <w:tc>
          <w:tcPr>
            <w:tcW w:w="2076" w:type="dxa"/>
            <w:vAlign w:val="center"/>
          </w:tcPr>
          <w:p w14:paraId="7B9E4D3A">
            <w:pPr>
              <w:jc w:val="left"/>
            </w:pPr>
            <w:r>
              <w:t>各公司财报 / IDC</w:t>
            </w:r>
          </w:p>
        </w:tc>
      </w:tr>
      <w:tr w14:paraId="1D30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D1E5EF0">
            <w:pPr>
              <w:jc w:val="left"/>
            </w:pPr>
            <w:r>
              <w:rPr>
                <w:b/>
              </w:rPr>
              <w:t>美股 - 能源</w:t>
            </w:r>
          </w:p>
        </w:tc>
        <w:tc>
          <w:tcPr>
            <w:tcW w:w="2076" w:type="dxa"/>
            <w:vAlign w:val="center"/>
          </w:tcPr>
          <w:p w14:paraId="6A4C5CA4">
            <w:pPr>
              <w:jc w:val="left"/>
            </w:pPr>
            <w:r>
              <w:t>EIA 黄金库存周报、美国活跃钻井数（贝克休斯）、天然气价格</w:t>
            </w:r>
          </w:p>
        </w:tc>
        <w:tc>
          <w:tcPr>
            <w:tcW w:w="2076" w:type="dxa"/>
            <w:vAlign w:val="center"/>
          </w:tcPr>
          <w:p w14:paraId="7418B493">
            <w:pPr>
              <w:jc w:val="left"/>
            </w:pPr>
            <w:r>
              <w:t>周度</w:t>
            </w:r>
          </w:p>
        </w:tc>
        <w:tc>
          <w:tcPr>
            <w:tcW w:w="2076" w:type="dxa"/>
            <w:vAlign w:val="center"/>
          </w:tcPr>
          <w:p w14:paraId="2F84B6F9">
            <w:pPr>
              <w:jc w:val="left"/>
            </w:pPr>
            <w:r>
              <w:t>EIA / Baker Hughes</w:t>
            </w:r>
          </w:p>
        </w:tc>
      </w:tr>
      <w:tr w14:paraId="7E2C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FBE2611">
            <w:pPr>
              <w:jc w:val="left"/>
            </w:pPr>
            <w:r>
              <w:rPr>
                <w:b/>
              </w:rPr>
              <w:t>美股 - 金融</w:t>
            </w:r>
          </w:p>
        </w:tc>
        <w:tc>
          <w:tcPr>
            <w:tcW w:w="2076" w:type="dxa"/>
            <w:vAlign w:val="center"/>
          </w:tcPr>
          <w:p w14:paraId="662F80C8">
            <w:pPr>
              <w:jc w:val="left"/>
            </w:pPr>
            <w:r>
              <w:t>KBW 银行指数与标普 500 相对强弱、美债收益率曲线斜率、信用利差</w:t>
            </w:r>
          </w:p>
        </w:tc>
        <w:tc>
          <w:tcPr>
            <w:tcW w:w="2076" w:type="dxa"/>
            <w:vAlign w:val="center"/>
          </w:tcPr>
          <w:p w14:paraId="0432F927">
            <w:pPr>
              <w:jc w:val="left"/>
            </w:pPr>
            <w:r>
              <w:t>日度/月度</w:t>
            </w:r>
          </w:p>
        </w:tc>
        <w:tc>
          <w:tcPr>
            <w:tcW w:w="2076" w:type="dxa"/>
            <w:vAlign w:val="center"/>
          </w:tcPr>
          <w:p w14:paraId="6CB007BD">
            <w:pPr>
              <w:jc w:val="left"/>
            </w:pPr>
            <w:r>
              <w:t>Bloomberg / FRED</w:t>
            </w:r>
          </w:p>
        </w:tc>
      </w:tr>
      <w:tr w14:paraId="2AFB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914C6E9">
            <w:pPr>
              <w:jc w:val="left"/>
            </w:pPr>
            <w:r>
              <w:rPr>
                <w:b/>
              </w:rPr>
              <w:t>全球 - 大宗商品</w:t>
            </w:r>
          </w:p>
        </w:tc>
        <w:tc>
          <w:tcPr>
            <w:tcW w:w="2076" w:type="dxa"/>
            <w:vAlign w:val="center"/>
          </w:tcPr>
          <w:p w14:paraId="3848B7F2">
            <w:pPr>
              <w:jc w:val="left"/>
            </w:pPr>
            <w:r>
              <w:t>铜价/铝价/铁矿石（代理全球制造业需求）、布伦特黄金（代理供需+地缘）</w:t>
            </w:r>
          </w:p>
        </w:tc>
        <w:tc>
          <w:tcPr>
            <w:tcW w:w="2076" w:type="dxa"/>
            <w:vAlign w:val="center"/>
          </w:tcPr>
          <w:p w14:paraId="2DF1843B">
            <w:pPr>
              <w:jc w:val="left"/>
            </w:pPr>
            <w:r>
              <w:t>日度</w:t>
            </w:r>
          </w:p>
        </w:tc>
        <w:tc>
          <w:tcPr>
            <w:tcW w:w="2076" w:type="dxa"/>
            <w:vAlign w:val="center"/>
          </w:tcPr>
          <w:p w14:paraId="501AEF34">
            <w:pPr>
              <w:jc w:val="left"/>
            </w:pPr>
            <w:r>
              <w:t>LME / CME / ICE</w:t>
            </w:r>
          </w:p>
        </w:tc>
      </w:tr>
    </w:tbl>
    <w:p w14:paraId="255E6369">
      <w:pPr>
        <w:pBdr>
          <w:bottom w:val="single" w:color="auto" w:sz="8" w:space="0"/>
        </w:pBdr>
      </w:pPr>
    </w:p>
    <w:p w14:paraId="6CFC4331">
      <w:pPr>
        <w:pStyle w:val="8"/>
      </w:pPr>
      <w:r>
        <w:t>行业配置量化评分公式</w:t>
      </w:r>
    </w:p>
    <w:p w14:paraId="21BB8038">
      <w:pPr>
        <w:pStyle w:val="4"/>
      </w:pPr>
      <w:r>
        <w:rPr>
          <w:b/>
        </w:rPr>
        <w:t>评分公式：</w:t>
      </w:r>
      <w:r>
        <w:t xml:space="preserve"> 行业配置得分 = 周期匹配度（0 或 1）× 3 + 景气趋势（上行 +2 / 持平 +1 / 下行 +0）+ 政策催化（有 +2 / 无 +0）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86E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E3AD099">
            <w:pPr>
              <w:jc w:val="left"/>
            </w:pPr>
            <w:r>
              <w:t>得分区间</w:t>
            </w:r>
          </w:p>
        </w:tc>
        <w:tc>
          <w:tcPr>
            <w:tcW w:w="2768" w:type="dxa"/>
            <w:vAlign w:val="center"/>
          </w:tcPr>
          <w:p w14:paraId="4A93BFB1">
            <w:pPr>
              <w:jc w:val="left"/>
            </w:pPr>
            <w:r>
              <w:t>配置等级</w:t>
            </w:r>
          </w:p>
        </w:tc>
        <w:tc>
          <w:tcPr>
            <w:tcW w:w="2768" w:type="dxa"/>
            <w:vAlign w:val="center"/>
          </w:tcPr>
          <w:p w14:paraId="65F4289F">
            <w:pPr>
              <w:jc w:val="left"/>
            </w:pPr>
            <w:r>
              <w:t>含义</w:t>
            </w:r>
          </w:p>
        </w:tc>
      </w:tr>
      <w:tr w14:paraId="4998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4D176DA">
            <w:pPr>
              <w:jc w:val="left"/>
            </w:pPr>
            <w:r>
              <w:rPr>
                <w:b/>
              </w:rPr>
              <w:t>≥ 5 分</w:t>
            </w:r>
          </w:p>
        </w:tc>
        <w:tc>
          <w:tcPr>
            <w:tcW w:w="2768" w:type="dxa"/>
            <w:vAlign w:val="center"/>
          </w:tcPr>
          <w:p w14:paraId="0C84F5F2">
            <w:pPr>
              <w:jc w:val="left"/>
            </w:pPr>
            <w:r>
              <w:rPr>
                <w:b/>
              </w:rPr>
              <w:t>一级配置（超配）</w:t>
            </w:r>
          </w:p>
        </w:tc>
        <w:tc>
          <w:tcPr>
            <w:tcW w:w="2768" w:type="dxa"/>
            <w:vAlign w:val="center"/>
          </w:tcPr>
          <w:p w14:paraId="3C273D6B">
            <w:pPr>
              <w:jc w:val="left"/>
            </w:pPr>
            <w:r>
              <w:t>周期定位 + 景气指标 + 政策催化三重共振，领先受益的主流行业</w:t>
            </w:r>
          </w:p>
        </w:tc>
      </w:tr>
      <w:tr w14:paraId="61B2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8E90498">
            <w:pPr>
              <w:jc w:val="left"/>
            </w:pPr>
            <w:r>
              <w:rPr>
                <w:b/>
              </w:rPr>
              <w:t>3-4 分</w:t>
            </w:r>
          </w:p>
        </w:tc>
        <w:tc>
          <w:tcPr>
            <w:tcW w:w="2768" w:type="dxa"/>
            <w:vAlign w:val="center"/>
          </w:tcPr>
          <w:p w14:paraId="3D71286C">
            <w:pPr>
              <w:jc w:val="left"/>
            </w:pPr>
            <w:r>
              <w:rPr>
                <w:b/>
              </w:rPr>
              <w:t>二级配置（标配）</w:t>
            </w:r>
          </w:p>
        </w:tc>
        <w:tc>
          <w:tcPr>
            <w:tcW w:w="2768" w:type="dxa"/>
            <w:vAlign w:val="center"/>
          </w:tcPr>
          <w:p w14:paraId="178D9BD2">
            <w:pPr>
              <w:jc w:val="left"/>
            </w:pPr>
            <w:r>
              <w:t>周期定位受益、但景气指标或政策催化仅满足其一</w:t>
            </w:r>
          </w:p>
        </w:tc>
      </w:tr>
      <w:tr w14:paraId="14B8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061E1B9">
            <w:pPr>
              <w:jc w:val="left"/>
            </w:pPr>
            <w:r>
              <w:rPr>
                <w:b/>
              </w:rPr>
              <w:t>≤ 2 分</w:t>
            </w:r>
          </w:p>
        </w:tc>
        <w:tc>
          <w:tcPr>
            <w:tcW w:w="2768" w:type="dxa"/>
            <w:vAlign w:val="center"/>
          </w:tcPr>
          <w:p w14:paraId="21110E99">
            <w:pPr>
              <w:jc w:val="left"/>
            </w:pPr>
            <w:r>
              <w:rPr>
                <w:b/>
              </w:rPr>
              <w:t>三级配置（低配/规避）</w:t>
            </w:r>
          </w:p>
        </w:tc>
        <w:tc>
          <w:tcPr>
            <w:tcW w:w="2768" w:type="dxa"/>
            <w:vAlign w:val="center"/>
          </w:tcPr>
          <w:p w14:paraId="2AC1E428">
            <w:pPr>
              <w:jc w:val="left"/>
            </w:pPr>
            <w:r>
              <w:t>周期定位不利，或高估值、高拥挤度风险明显</w:t>
            </w:r>
          </w:p>
        </w:tc>
      </w:tr>
    </w:tbl>
    <w:p w14:paraId="5D461CF2">
      <w:pPr>
        <w:pStyle w:val="4"/>
      </w:pPr>
      <w:r>
        <w:rPr>
          <w:b/>
        </w:rPr>
        <w:t>约束规则：</w:t>
      </w:r>
    </w:p>
    <w:p w14:paraId="6FCEB2DA">
      <w:pPr>
        <w:pStyle w:val="4"/>
        <w:numPr>
          <w:ilvl w:val="0"/>
          <w:numId w:val="39"/>
        </w:numPr>
      </w:pPr>
      <w:r>
        <w:t>单一行业评分不得仅依据"政策催化"单项得满分，政策催化分必须有景气数据支撑；</w:t>
      </w:r>
    </w:p>
    <w:p w14:paraId="5174A097">
      <w:pPr>
        <w:pStyle w:val="4"/>
        <w:numPr>
          <w:ilvl w:val="0"/>
          <w:numId w:val="39"/>
        </w:numPr>
      </w:pPr>
      <w:r>
        <w:t>高拥挤度行业（换手率/成交额占比过高）需在输出中标注"拥挤度风险"警告；</w:t>
      </w:r>
    </w:p>
    <w:p w14:paraId="4642A0C5">
      <w:pPr>
        <w:pStyle w:val="4"/>
        <w:numPr>
          <w:ilvl w:val="0"/>
          <w:numId w:val="39"/>
        </w:numPr>
      </w:pPr>
      <w:r>
        <w:t>行业配置结论有效期与大类资产信号有效期一致。</w:t>
      </w:r>
    </w:p>
    <w:p w14:paraId="41F39BE4">
      <w:pPr>
        <w:pStyle w:val="8"/>
      </w:pPr>
      <w:r>
        <w:t>行业 Alpha 偏离映射规则</w:t>
      </w:r>
    </w:p>
    <w:p w14:paraId="0793E00F">
      <w:pPr>
        <w:pStyle w:val="4"/>
      </w:pPr>
      <w:r>
        <w:t>行业配置得分需转化为 Alpha 偏离权重，纳入 Layer 5 风险预算约束：</w:t>
      </w:r>
    </w:p>
    <w:p w14:paraId="3649AFB7">
      <w:pPr>
        <w:pStyle w:val="4"/>
      </w:pPr>
      <w:r>
        <w:rPr>
          <w:b/>
        </w:rPr>
        <w:t>映射步骤：</w:t>
      </w:r>
    </w:p>
    <w:p w14:paraId="066A0C1F">
      <w:pPr>
        <w:pStyle w:val="4"/>
        <w:numPr>
          <w:ilvl w:val="0"/>
          <w:numId w:val="40"/>
        </w:numPr>
      </w:pPr>
      <w:r>
        <w:rPr>
          <w:b/>
        </w:rPr>
        <w:t>行业得分 → 行业偏离方向</w:t>
      </w:r>
      <w:r>
        <w:t>：得分 ≥ 5 → 超配，3-4 → 标配，≤ 2 → 低配</w:t>
      </w:r>
    </w:p>
    <w:p w14:paraId="19738203">
      <w:pPr>
        <w:pStyle w:val="4"/>
        <w:numPr>
          <w:ilvl w:val="0"/>
          <w:numId w:val="40"/>
        </w:numPr>
      </w:pPr>
      <w:r>
        <w:rPr>
          <w:b/>
        </w:rPr>
        <w:t>行业偏离幅度</w:t>
      </w:r>
      <w:r>
        <w:t>：行业偏离幅度 = 宏观 Alpha 偏离幅度（5.3 节）× 行业偏离系数</w:t>
      </w:r>
    </w:p>
    <w:p w14:paraId="6B77F642">
      <w:pPr>
        <w:pStyle w:val="4"/>
        <w:numPr>
          <w:ilvl w:val="1"/>
          <w:numId w:val="40"/>
        </w:numPr>
      </w:pPr>
      <w:r>
        <w:t>超配行业：偏离系数 = +0.5（即行业偏离为宏观偏离的 50%）</w:t>
      </w:r>
    </w:p>
    <w:p w14:paraId="367A7ACD">
      <w:pPr>
        <w:pStyle w:val="4"/>
        <w:numPr>
          <w:ilvl w:val="1"/>
          <w:numId w:val="40"/>
        </w:numPr>
      </w:pPr>
      <w:r>
        <w:t>标配行业：偏离系数 = 0（不做行业偏离）</w:t>
      </w:r>
    </w:p>
    <w:p w14:paraId="7E60B223">
      <w:pPr>
        <w:pStyle w:val="4"/>
        <w:numPr>
          <w:ilvl w:val="1"/>
          <w:numId w:val="40"/>
        </w:numPr>
      </w:pPr>
      <w:r>
        <w:t>低配行业：偏离系数 = −0.5</w:t>
      </w:r>
    </w:p>
    <w:p w14:paraId="18A21560">
      <w:pPr>
        <w:pStyle w:val="4"/>
        <w:numPr>
          <w:ilvl w:val="0"/>
          <w:numId w:val="40"/>
        </w:numPr>
      </w:pPr>
      <w:r>
        <w:rPr>
          <w:b/>
        </w:rPr>
        <w:t>与宏观 Alpha 叠加</w:t>
      </w:r>
      <w:r>
        <w:t>：行业偏离与宏观 Alpha 偏离同向时相加，反向时取净值</w:t>
      </w:r>
    </w:p>
    <w:p w14:paraId="02927F35">
      <w:pPr>
        <w:pStyle w:val="4"/>
        <w:numPr>
          <w:ilvl w:val="0"/>
          <w:numId w:val="40"/>
        </w:numPr>
      </w:pPr>
      <w:r>
        <w:rPr>
          <w:b/>
        </w:rPr>
        <w:t>纳入风险预算约束</w:t>
      </w:r>
      <w:r>
        <w:t>：行业偏离后的最终权重同样受 5.5 节单资产最大权重偏离（基准的 ±50%）约束</w:t>
      </w:r>
    </w:p>
    <w:p w14:paraId="0C1E423D">
      <w:pPr>
        <w:pStyle w:val="4"/>
      </w:pPr>
      <w:r>
        <w:rPr>
          <w:b/>
        </w:rPr>
        <w:t>示例：</w:t>
      </w:r>
      <w:r>
        <w:t xml:space="preserve"> 宏观 Alpha 对 A 股偏离 +4.5%，"电子"行业得分 6 分（超配），则电子行业偏离 = 4.5% × 0.5 = +2.25%，叠加后电子配置权重在 A 股内部超配 2.25 个百分点。</w:t>
      </w:r>
    </w:p>
    <w:p w14:paraId="76040590">
      <w:pPr>
        <w:pBdr>
          <w:bottom w:val="single" w:color="auto" w:sz="8" w:space="0"/>
        </w:pBdr>
      </w:pPr>
    </w:p>
    <w:p w14:paraId="4C113C08">
      <w:pPr>
        <w:pStyle w:val="9"/>
      </w:pPr>
      <w:r>
        <w:t>5.5 风险预算约束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AAA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9431CAF">
            <w:pPr>
              <w:jc w:val="left"/>
            </w:pPr>
            <w:r>
              <w:t>约束项</w:t>
            </w:r>
          </w:p>
        </w:tc>
        <w:tc>
          <w:tcPr>
            <w:tcW w:w="2076" w:type="dxa"/>
            <w:vAlign w:val="center"/>
          </w:tcPr>
          <w:p w14:paraId="254EAF9A">
            <w:pPr>
              <w:jc w:val="left"/>
            </w:pPr>
            <w:r>
              <w:t>阈值</w:t>
            </w:r>
          </w:p>
        </w:tc>
        <w:tc>
          <w:tcPr>
            <w:tcW w:w="2076" w:type="dxa"/>
            <w:vAlign w:val="center"/>
          </w:tcPr>
          <w:p w14:paraId="16EEC6EB">
            <w:pPr>
              <w:jc w:val="left"/>
            </w:pPr>
            <w:r>
              <w:t>校验频率</w:t>
            </w:r>
          </w:p>
        </w:tc>
        <w:tc>
          <w:tcPr>
            <w:tcW w:w="2076" w:type="dxa"/>
            <w:vAlign w:val="center"/>
          </w:tcPr>
          <w:p w14:paraId="6E57FB82">
            <w:pPr>
              <w:jc w:val="left"/>
            </w:pPr>
            <w:r>
              <w:t>说明</w:t>
            </w:r>
          </w:p>
        </w:tc>
      </w:tr>
      <w:tr w14:paraId="18996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1968800">
            <w:pPr>
              <w:jc w:val="left"/>
            </w:pPr>
            <w:r>
              <w:rPr>
                <w:b/>
              </w:rPr>
              <w:t>单信号最大偏离</w:t>
            </w:r>
          </w:p>
        </w:tc>
        <w:tc>
          <w:tcPr>
            <w:tcW w:w="2076" w:type="dxa"/>
            <w:vAlign w:val="center"/>
          </w:tcPr>
          <w:p w14:paraId="1E9F863F">
            <w:pPr>
              <w:jc w:val="left"/>
            </w:pPr>
            <w:r>
              <w:t>基准的 ±30%</w:t>
            </w:r>
          </w:p>
        </w:tc>
        <w:tc>
          <w:tcPr>
            <w:tcW w:w="2076" w:type="dxa"/>
            <w:vAlign w:val="center"/>
          </w:tcPr>
          <w:p w14:paraId="431377F5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21EB37F1">
            <w:pPr>
              <w:jc w:val="left"/>
            </w:pPr>
            <w:r>
              <w:t>任一信号对单一资产的最大偏离不超过基准权重的 30%</w:t>
            </w:r>
          </w:p>
        </w:tc>
      </w:tr>
      <w:tr w14:paraId="700A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94003AC">
            <w:pPr>
              <w:jc w:val="left"/>
            </w:pPr>
            <w:r>
              <w:rPr>
                <w:b/>
              </w:rPr>
              <w:t>单资产最大权重偏离</w:t>
            </w:r>
          </w:p>
        </w:tc>
        <w:tc>
          <w:tcPr>
            <w:tcW w:w="2076" w:type="dxa"/>
            <w:vAlign w:val="center"/>
          </w:tcPr>
          <w:p w14:paraId="06E187A4">
            <w:pPr>
              <w:jc w:val="left"/>
            </w:pPr>
            <w:r>
              <w:t>基准的 ±50%</w:t>
            </w:r>
          </w:p>
        </w:tc>
        <w:tc>
          <w:tcPr>
            <w:tcW w:w="2076" w:type="dxa"/>
            <w:vAlign w:val="center"/>
          </w:tcPr>
          <w:p w14:paraId="0FB3028D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3E9CAC89">
            <w:pPr>
              <w:jc w:val="left"/>
            </w:pPr>
            <w:r>
              <w:t>Alpha 偏离后，单资产最终权重不超过基准的 150%、不低于基准的 50%</w:t>
            </w:r>
          </w:p>
        </w:tc>
      </w:tr>
      <w:tr w14:paraId="2BB04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B28511C">
            <w:pPr>
              <w:jc w:val="left"/>
            </w:pPr>
            <w:r>
              <w:rPr>
                <w:b/>
              </w:rPr>
              <w:t>整组合年化波动率上限</w:t>
            </w:r>
          </w:p>
        </w:tc>
        <w:tc>
          <w:tcPr>
            <w:tcW w:w="2076" w:type="dxa"/>
            <w:vAlign w:val="center"/>
          </w:tcPr>
          <w:p w14:paraId="3E60648A">
            <w:pPr>
              <w:jc w:val="left"/>
            </w:pPr>
            <w:r>
              <w:t>12%</w:t>
            </w:r>
          </w:p>
        </w:tc>
        <w:tc>
          <w:tcPr>
            <w:tcW w:w="2076" w:type="dxa"/>
            <w:vAlign w:val="center"/>
          </w:tcPr>
          <w:p w14:paraId="31BE5ABC">
            <w:pPr>
              <w:jc w:val="left"/>
            </w:pPr>
            <w:r>
              <w:t>每月</w:t>
            </w:r>
          </w:p>
        </w:tc>
        <w:tc>
          <w:tcPr>
            <w:tcW w:w="2076" w:type="dxa"/>
            <w:vAlign w:val="center"/>
          </w:tcPr>
          <w:p w14:paraId="259101F1">
            <w:pPr>
              <w:jc w:val="left"/>
            </w:pPr>
            <w:r>
              <w:t>基于过去 3 年协方差矩阵估算，超标时等比例缩降 Alpha 偏离</w:t>
            </w:r>
          </w:p>
        </w:tc>
      </w:tr>
      <w:tr w14:paraId="300D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381B586">
            <w:pPr>
              <w:jc w:val="left"/>
            </w:pPr>
            <w:r>
              <w:rPr>
                <w:b/>
              </w:rPr>
              <w:t>最大回撤硬性上限</w:t>
            </w:r>
          </w:p>
        </w:tc>
        <w:tc>
          <w:tcPr>
            <w:tcW w:w="2076" w:type="dxa"/>
            <w:vAlign w:val="center"/>
          </w:tcPr>
          <w:p w14:paraId="181B2141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1561268B">
            <w:pPr>
              <w:jc w:val="left"/>
            </w:pPr>
            <w:r>
              <w:t>实时</w:t>
            </w:r>
          </w:p>
        </w:tc>
        <w:tc>
          <w:tcPr>
            <w:tcW w:w="2076" w:type="dxa"/>
            <w:vAlign w:val="center"/>
          </w:tcPr>
          <w:p w14:paraId="1FBFE5AB">
            <w:pPr>
              <w:jc w:val="left"/>
            </w:pPr>
            <w:r>
              <w:t>触及 15% 回撤时，Alpha 偏离全部清零，回归纯 Beta 基准</w:t>
            </w:r>
          </w:p>
        </w:tc>
      </w:tr>
      <w:tr w14:paraId="71F5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59FEF2B">
            <w:pPr>
              <w:jc w:val="left"/>
            </w:pPr>
            <w:r>
              <w:rPr>
                <w:b/>
              </w:rPr>
              <w:t>整组合杠杆上限</w:t>
            </w:r>
          </w:p>
        </w:tc>
        <w:tc>
          <w:tcPr>
            <w:tcW w:w="2076" w:type="dxa"/>
            <w:vAlign w:val="center"/>
          </w:tcPr>
          <w:p w14:paraId="6594E07D">
            <w:pPr>
              <w:jc w:val="left"/>
            </w:pPr>
            <w:r>
              <w:t>1.5x</w:t>
            </w:r>
          </w:p>
        </w:tc>
        <w:tc>
          <w:tcPr>
            <w:tcW w:w="2076" w:type="dxa"/>
            <w:vAlign w:val="center"/>
          </w:tcPr>
          <w:p w14:paraId="48EB67DC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6D551327">
            <w:pPr>
              <w:jc w:val="left"/>
            </w:pPr>
            <w:r>
              <w:t>所有资产权重之和不超过 150%，防止过度集中</w:t>
            </w:r>
          </w:p>
        </w:tc>
      </w:tr>
    </w:tbl>
    <w:p w14:paraId="15C31B84">
      <w:pPr>
        <w:pStyle w:val="4"/>
      </w:pPr>
      <w:r>
        <w:rPr>
          <w:b/>
        </w:rPr>
        <w:t>约束触发时的处理流程：</w:t>
      </w:r>
    </w:p>
    <w:p w14:paraId="17280F44">
      <w:pPr>
        <w:pStyle w:val="4"/>
        <w:numPr>
          <w:ilvl w:val="0"/>
          <w:numId w:val="41"/>
        </w:numPr>
      </w:pPr>
      <w:r>
        <w:t>单信号/单资产约束触发 → 截断至阈值，超额部分按比例分配至其他资产</w:t>
      </w:r>
    </w:p>
    <w:p w14:paraId="4B787982">
      <w:pPr>
        <w:pStyle w:val="4"/>
        <w:numPr>
          <w:ilvl w:val="0"/>
          <w:numId w:val="41"/>
        </w:numPr>
      </w:pPr>
      <w:r>
        <w:t>波动率约束触发 → Alpha 偏离整体等比例缩降直至波动率达标</w:t>
      </w:r>
    </w:p>
    <w:p w14:paraId="4FCFD0DC">
      <w:pPr>
        <w:pStyle w:val="4"/>
        <w:numPr>
          <w:ilvl w:val="0"/>
          <w:numId w:val="41"/>
        </w:numPr>
      </w:pPr>
      <w:r>
        <w:t>最大回撤触发 → Alpha 全部清零，回归 Beta 基准；需连续 2 周 Layer 4 信号强度恢复至有效水平后方可重建 Alpha 仓位</w:t>
      </w:r>
    </w:p>
    <w:p w14:paraId="1437D434">
      <w:pPr>
        <w:pStyle w:val="4"/>
        <w:numPr>
          <w:ilvl w:val="0"/>
          <w:numId w:val="41"/>
        </w:numPr>
      </w:pPr>
      <w:r>
        <w:t>杠杆约束触发 → 按偏离贡献从大到小依次削减</w:t>
      </w:r>
    </w:p>
    <w:p w14:paraId="284F12E4">
      <w:pPr>
        <w:pStyle w:val="9"/>
      </w:pPr>
    </w:p>
    <w:p w14:paraId="3DE575FC">
      <w:pPr>
        <w:pStyle w:val="9"/>
      </w:pPr>
      <w:r>
        <w:t>5.6 最终输出形态</w:t>
      </w:r>
    </w:p>
    <w:p w14:paraId="3B092C2A">
      <w:pPr>
        <w:pStyle w:val="8"/>
      </w:pPr>
      <w:r>
        <w:t>资产配置权重表（示例）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A43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F5B593E">
            <w:pPr>
              <w:jc w:val="left"/>
            </w:pPr>
            <w:r>
              <w:t>资产</w:t>
            </w:r>
          </w:p>
        </w:tc>
        <w:tc>
          <w:tcPr>
            <w:tcW w:w="1661" w:type="dxa"/>
            <w:vAlign w:val="center"/>
          </w:tcPr>
          <w:p w14:paraId="57048E9E">
            <w:pPr>
              <w:jc w:val="left"/>
            </w:pPr>
            <w:r>
              <w:t>Beta 基准</w:t>
            </w:r>
          </w:p>
        </w:tc>
        <w:tc>
          <w:tcPr>
            <w:tcW w:w="1661" w:type="dxa"/>
            <w:vAlign w:val="center"/>
          </w:tcPr>
          <w:p w14:paraId="4378402B">
            <w:pPr>
              <w:jc w:val="left"/>
            </w:pPr>
            <w:r>
              <w:t>Alpha 偏离</w:t>
            </w:r>
          </w:p>
        </w:tc>
        <w:tc>
          <w:tcPr>
            <w:tcW w:w="1661" w:type="dxa"/>
            <w:vAlign w:val="center"/>
          </w:tcPr>
          <w:p w14:paraId="3A6DE987">
            <w:pPr>
              <w:jc w:val="left"/>
            </w:pPr>
            <w:r>
              <w:t>最终权重</w:t>
            </w:r>
          </w:p>
        </w:tc>
        <w:tc>
          <w:tcPr>
            <w:tcW w:w="1661" w:type="dxa"/>
            <w:vAlign w:val="center"/>
          </w:tcPr>
          <w:p w14:paraId="287D1FD0">
            <w:pPr>
              <w:jc w:val="left"/>
            </w:pPr>
            <w:r>
              <w:t>驱动信号</w:t>
            </w:r>
          </w:p>
        </w:tc>
      </w:tr>
      <w:tr w14:paraId="0D38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B498185">
            <w:pPr>
              <w:jc w:val="left"/>
            </w:pPr>
            <w:r>
              <w:t>A 股</w:t>
            </w:r>
          </w:p>
        </w:tc>
        <w:tc>
          <w:tcPr>
            <w:tcW w:w="1661" w:type="dxa"/>
            <w:vAlign w:val="center"/>
          </w:tcPr>
          <w:p w14:paraId="42ADC36C">
            <w:pPr>
              <w:jc w:val="left"/>
            </w:pPr>
            <w:r>
              <w:t>15%</w:t>
            </w:r>
          </w:p>
        </w:tc>
        <w:tc>
          <w:tcPr>
            <w:tcW w:w="1661" w:type="dxa"/>
            <w:vAlign w:val="center"/>
          </w:tcPr>
          <w:p w14:paraId="7DB01966">
            <w:pPr>
              <w:jc w:val="left"/>
            </w:pPr>
            <w:r>
              <w:t>+4.5%</w:t>
            </w:r>
          </w:p>
        </w:tc>
        <w:tc>
          <w:tcPr>
            <w:tcW w:w="1661" w:type="dxa"/>
            <w:vAlign w:val="center"/>
          </w:tcPr>
          <w:p w14:paraId="255AD909">
            <w:pPr>
              <w:jc w:val="left"/>
            </w:pPr>
            <w:r>
              <w:t>19.5%</w:t>
            </w:r>
          </w:p>
        </w:tc>
        <w:tc>
          <w:tcPr>
            <w:tcW w:w="1661" w:type="dxa"/>
            <w:vAlign w:val="center"/>
          </w:tcPr>
          <w:p w14:paraId="40762A2F">
            <w:pPr>
              <w:jc w:val="left"/>
            </w:pPr>
            <w:r>
              <w:t>增长预期差+（+2%）、政策预期差+（+1.5%）、中美增长差+（+1%）</w:t>
            </w:r>
          </w:p>
        </w:tc>
      </w:tr>
      <w:tr w14:paraId="1375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0B2FBC5">
            <w:pPr>
              <w:jc w:val="left"/>
            </w:pPr>
            <w:r>
              <w:t>中国国债</w:t>
            </w:r>
          </w:p>
        </w:tc>
        <w:tc>
          <w:tcPr>
            <w:tcW w:w="1661" w:type="dxa"/>
            <w:vAlign w:val="center"/>
          </w:tcPr>
          <w:p w14:paraId="2809C569">
            <w:pPr>
              <w:jc w:val="left"/>
            </w:pPr>
            <w:r>
              <w:t>32%</w:t>
            </w:r>
          </w:p>
        </w:tc>
        <w:tc>
          <w:tcPr>
            <w:tcW w:w="1661" w:type="dxa"/>
            <w:vAlign w:val="center"/>
          </w:tcPr>
          <w:p w14:paraId="22D5900F">
            <w:pPr>
              <w:jc w:val="left"/>
            </w:pPr>
            <w:r>
              <w:t>−6.4%</w:t>
            </w:r>
          </w:p>
        </w:tc>
        <w:tc>
          <w:tcPr>
            <w:tcW w:w="1661" w:type="dxa"/>
            <w:vAlign w:val="center"/>
          </w:tcPr>
          <w:p w14:paraId="6D4968FE">
            <w:pPr>
              <w:jc w:val="left"/>
            </w:pPr>
            <w:r>
              <w:t>25.6%</w:t>
            </w:r>
          </w:p>
        </w:tc>
        <w:tc>
          <w:tcPr>
            <w:tcW w:w="1661" w:type="dxa"/>
            <w:vAlign w:val="center"/>
          </w:tcPr>
          <w:p w14:paraId="6F90DEBE">
            <w:pPr>
              <w:jc w:val="left"/>
            </w:pPr>
            <w:r>
              <w:t>增长预期差+（−3.2%）、通胀预期差+（−3.2%）</w:t>
            </w:r>
          </w:p>
        </w:tc>
      </w:tr>
      <w:tr w14:paraId="3D9D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6ABEAB8">
            <w:pPr>
              <w:jc w:val="left"/>
            </w:pPr>
            <w:r>
              <w:t>黄金/铜</w:t>
            </w:r>
          </w:p>
        </w:tc>
        <w:tc>
          <w:tcPr>
            <w:tcW w:w="1661" w:type="dxa"/>
            <w:vAlign w:val="center"/>
          </w:tcPr>
          <w:p w14:paraId="5FC1C897">
            <w:pPr>
              <w:jc w:val="left"/>
            </w:pPr>
            <w:r>
              <w:t>16%</w:t>
            </w:r>
          </w:p>
        </w:tc>
        <w:tc>
          <w:tcPr>
            <w:tcW w:w="1661" w:type="dxa"/>
            <w:vAlign w:val="center"/>
          </w:tcPr>
          <w:p w14:paraId="3FC0568E">
            <w:pPr>
              <w:jc w:val="left"/>
            </w:pPr>
            <w:r>
              <w:t>+3.2%</w:t>
            </w:r>
          </w:p>
        </w:tc>
        <w:tc>
          <w:tcPr>
            <w:tcW w:w="1661" w:type="dxa"/>
            <w:vAlign w:val="center"/>
          </w:tcPr>
          <w:p w14:paraId="1606B086">
            <w:pPr>
              <w:jc w:val="left"/>
            </w:pPr>
            <w:r>
              <w:t>19.2%</w:t>
            </w:r>
          </w:p>
        </w:tc>
        <w:tc>
          <w:tcPr>
            <w:tcW w:w="1661" w:type="dxa"/>
            <w:vAlign w:val="center"/>
          </w:tcPr>
          <w:p w14:paraId="1756C25D">
            <w:pPr>
              <w:jc w:val="left"/>
            </w:pPr>
            <w:r>
              <w:t>增长预期差+（+1.6%）、通胀预期差+（+1.6%）</w:t>
            </w:r>
          </w:p>
        </w:tc>
      </w:tr>
      <w:tr w14:paraId="0980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942A39">
            <w:pPr>
              <w:jc w:val="left"/>
            </w:pPr>
            <w:r>
              <w:t>黄金</w:t>
            </w:r>
          </w:p>
        </w:tc>
        <w:tc>
          <w:tcPr>
            <w:tcW w:w="1661" w:type="dxa"/>
            <w:vAlign w:val="center"/>
          </w:tcPr>
          <w:p w14:paraId="70F09352">
            <w:pPr>
              <w:jc w:val="left"/>
            </w:pPr>
            <w:r>
              <w:t>17%</w:t>
            </w:r>
          </w:p>
        </w:tc>
        <w:tc>
          <w:tcPr>
            <w:tcW w:w="1661" w:type="dxa"/>
            <w:vAlign w:val="center"/>
          </w:tcPr>
          <w:p w14:paraId="6E717707">
            <w:pPr>
              <w:jc w:val="left"/>
            </w:pPr>
            <w:r>
              <w:t>+1.7%</w:t>
            </w:r>
          </w:p>
        </w:tc>
        <w:tc>
          <w:tcPr>
            <w:tcW w:w="1661" w:type="dxa"/>
            <w:vAlign w:val="center"/>
          </w:tcPr>
          <w:p w14:paraId="3569461B">
            <w:pPr>
              <w:jc w:val="left"/>
            </w:pPr>
            <w:r>
              <w:t>18.7%</w:t>
            </w:r>
          </w:p>
        </w:tc>
        <w:tc>
          <w:tcPr>
            <w:tcW w:w="1661" w:type="dxa"/>
            <w:vAlign w:val="center"/>
          </w:tcPr>
          <w:p w14:paraId="5C9504F1">
            <w:pPr>
              <w:jc w:val="left"/>
            </w:pPr>
            <w:r>
              <w:t>全球紧缩三角（+1.7%）</w:t>
            </w:r>
          </w:p>
        </w:tc>
      </w:tr>
      <w:tr w14:paraId="7308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99E36C0">
            <w:pPr>
              <w:jc w:val="left"/>
            </w:pPr>
            <w:r>
              <w:t>美元资产</w:t>
            </w:r>
          </w:p>
        </w:tc>
        <w:tc>
          <w:tcPr>
            <w:tcW w:w="1661" w:type="dxa"/>
            <w:vAlign w:val="center"/>
          </w:tcPr>
          <w:p w14:paraId="0F07895D">
            <w:pPr>
              <w:jc w:val="left"/>
            </w:pPr>
            <w:r>
              <w:t>20%</w:t>
            </w:r>
          </w:p>
        </w:tc>
        <w:tc>
          <w:tcPr>
            <w:tcW w:w="1661" w:type="dxa"/>
            <w:vAlign w:val="center"/>
          </w:tcPr>
          <w:p w14:paraId="17C53D3C">
            <w:pPr>
              <w:jc w:val="left"/>
            </w:pPr>
            <w:r>
              <w:t>−3.0%</w:t>
            </w:r>
          </w:p>
        </w:tc>
        <w:tc>
          <w:tcPr>
            <w:tcW w:w="1661" w:type="dxa"/>
            <w:vAlign w:val="center"/>
          </w:tcPr>
          <w:p w14:paraId="1347E9F5">
            <w:pPr>
              <w:jc w:val="left"/>
            </w:pPr>
            <w:r>
              <w:t>17.0%</w:t>
            </w:r>
          </w:p>
        </w:tc>
        <w:tc>
          <w:tcPr>
            <w:tcW w:w="1661" w:type="dxa"/>
            <w:vAlign w:val="center"/>
          </w:tcPr>
          <w:p w14:paraId="1D096C62">
            <w:pPr>
              <w:jc w:val="left"/>
            </w:pPr>
            <w:r>
              <w:t>中美增长差+（−3.0%）</w:t>
            </w:r>
          </w:p>
        </w:tc>
      </w:tr>
      <w:tr w14:paraId="0068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5B31EAC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1661" w:type="dxa"/>
            <w:vAlign w:val="center"/>
          </w:tcPr>
          <w:p w14:paraId="5A779581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1661" w:type="dxa"/>
            <w:vAlign w:val="center"/>
          </w:tcPr>
          <w:p w14:paraId="25FFD481">
            <w:pPr>
              <w:jc w:val="left"/>
            </w:pPr>
            <w:r>
              <w:rPr>
                <w:b/>
              </w:rPr>
              <w:t>0%</w:t>
            </w:r>
          </w:p>
        </w:tc>
        <w:tc>
          <w:tcPr>
            <w:tcW w:w="1661" w:type="dxa"/>
            <w:vAlign w:val="center"/>
          </w:tcPr>
          <w:p w14:paraId="16BCDFB4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1661" w:type="dxa"/>
            <w:vAlign w:val="center"/>
          </w:tcPr>
          <w:p w14:paraId="6FB572A0">
            <w:pPr>
              <w:jc w:val="left"/>
            </w:pPr>
            <w:r>
              <w:t>—</w:t>
            </w:r>
          </w:p>
        </w:tc>
      </w:tr>
    </w:tbl>
    <w:p w14:paraId="1D018429">
      <w:pPr>
        <w:pStyle w:val="4"/>
      </w:pPr>
      <w:r>
        <w:t>（上表为示意格式，每周由量化模型组填充实际数值。Alpha 偏离合计为 0 确保多头/空头偏离平衡）</w:t>
      </w:r>
    </w:p>
    <w:p w14:paraId="54C29003">
      <w:pPr>
        <w:pStyle w:val="8"/>
      </w:pPr>
      <w:r>
        <w:t>标准化信号输出模板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19D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93616C7">
            <w:pPr>
              <w:jc w:val="left"/>
            </w:pPr>
            <w:r>
              <w:t>#</w:t>
            </w:r>
          </w:p>
        </w:tc>
        <w:tc>
          <w:tcPr>
            <w:tcW w:w="2076" w:type="dxa"/>
            <w:vAlign w:val="center"/>
          </w:tcPr>
          <w:p w14:paraId="583CAA36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7E98753F">
            <w:pPr>
              <w:jc w:val="left"/>
            </w:pPr>
            <w:r>
              <w:t>内容</w:t>
            </w:r>
          </w:p>
        </w:tc>
        <w:tc>
          <w:tcPr>
            <w:tcW w:w="2076" w:type="dxa"/>
            <w:vAlign w:val="center"/>
          </w:tcPr>
          <w:p w14:paraId="3449EDE5">
            <w:pPr>
              <w:jc w:val="left"/>
            </w:pPr>
            <w:r>
              <w:t>来源层</w:t>
            </w:r>
          </w:p>
        </w:tc>
      </w:tr>
      <w:tr w14:paraId="35CB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2E2A02E">
            <w:pPr>
              <w:jc w:val="left"/>
            </w:pPr>
            <w:r>
              <w:t>1</w:t>
            </w:r>
          </w:p>
        </w:tc>
        <w:tc>
          <w:tcPr>
            <w:tcW w:w="2076" w:type="dxa"/>
            <w:vAlign w:val="center"/>
          </w:tcPr>
          <w:p w14:paraId="18E1C2D9">
            <w:pPr>
              <w:jc w:val="left"/>
            </w:pPr>
            <w:r>
              <w:t>全球周期最终定位</w:t>
            </w:r>
          </w:p>
        </w:tc>
        <w:tc>
          <w:tcPr>
            <w:tcW w:w="2076" w:type="dxa"/>
            <w:vAlign w:val="center"/>
          </w:tcPr>
          <w:p w14:paraId="283226C6">
            <w:pPr>
              <w:jc w:val="left"/>
            </w:pPr>
            <w:r>
              <w:t>Layer 2.5 全球宏观三角定位</w:t>
            </w:r>
          </w:p>
        </w:tc>
        <w:tc>
          <w:tcPr>
            <w:tcW w:w="2076" w:type="dxa"/>
            <w:vAlign w:val="center"/>
          </w:tcPr>
          <w:p w14:paraId="0AAE3FCE">
            <w:pPr>
              <w:jc w:val="left"/>
            </w:pPr>
            <w:r>
              <w:t>既有</w:t>
            </w:r>
          </w:p>
        </w:tc>
      </w:tr>
      <w:tr w14:paraId="454D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F9EC961">
            <w:pPr>
              <w:jc w:val="left"/>
            </w:pPr>
            <w:r>
              <w:t>2</w:t>
            </w:r>
          </w:p>
        </w:tc>
        <w:tc>
          <w:tcPr>
            <w:tcW w:w="2076" w:type="dxa"/>
            <w:vAlign w:val="center"/>
          </w:tcPr>
          <w:p w14:paraId="66801917">
            <w:pPr>
              <w:jc w:val="left"/>
            </w:pPr>
            <w:r>
              <w:t>美国周期最终定位</w:t>
            </w:r>
          </w:p>
        </w:tc>
        <w:tc>
          <w:tcPr>
            <w:tcW w:w="2076" w:type="dxa"/>
            <w:vAlign w:val="center"/>
          </w:tcPr>
          <w:p w14:paraId="7002CF58">
            <w:pPr>
              <w:jc w:val="left"/>
            </w:pPr>
            <w:r>
              <w:t>美国 CAI/FCI/通胀 → 四象限</w:t>
            </w:r>
          </w:p>
        </w:tc>
        <w:tc>
          <w:tcPr>
            <w:tcW w:w="2076" w:type="dxa"/>
            <w:vAlign w:val="center"/>
          </w:tcPr>
          <w:p w14:paraId="13D8DEA6">
            <w:pPr>
              <w:jc w:val="left"/>
            </w:pPr>
            <w:r>
              <w:t>既有</w:t>
            </w:r>
          </w:p>
        </w:tc>
      </w:tr>
      <w:tr w14:paraId="2AA6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178D5D1">
            <w:pPr>
              <w:jc w:val="left"/>
            </w:pPr>
            <w:r>
              <w:t>3</w:t>
            </w:r>
          </w:p>
        </w:tc>
        <w:tc>
          <w:tcPr>
            <w:tcW w:w="2076" w:type="dxa"/>
            <w:vAlign w:val="center"/>
          </w:tcPr>
          <w:p w14:paraId="2AE7FB96">
            <w:pPr>
              <w:jc w:val="left"/>
            </w:pPr>
            <w:r>
              <w:t>国内周期最终定位</w:t>
            </w:r>
          </w:p>
        </w:tc>
        <w:tc>
          <w:tcPr>
            <w:tcW w:w="2076" w:type="dxa"/>
            <w:vAlign w:val="center"/>
          </w:tcPr>
          <w:p w14:paraId="0BD6B83F">
            <w:pPr>
              <w:jc w:val="left"/>
            </w:pPr>
            <w:r>
              <w:t>中国 CAI/FCI/通胀 → 四象限</w:t>
            </w:r>
          </w:p>
        </w:tc>
        <w:tc>
          <w:tcPr>
            <w:tcW w:w="2076" w:type="dxa"/>
            <w:vAlign w:val="center"/>
          </w:tcPr>
          <w:p w14:paraId="30665E61">
            <w:pPr>
              <w:jc w:val="left"/>
            </w:pPr>
            <w:r>
              <w:t>既有</w:t>
            </w:r>
          </w:p>
        </w:tc>
      </w:tr>
      <w:tr w14:paraId="34B1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42B7879">
            <w:pPr>
              <w:jc w:val="left"/>
            </w:pPr>
            <w:r>
              <w:t>4</w:t>
            </w:r>
          </w:p>
        </w:tc>
        <w:tc>
          <w:tcPr>
            <w:tcW w:w="2076" w:type="dxa"/>
            <w:vAlign w:val="center"/>
          </w:tcPr>
          <w:p w14:paraId="194B073F">
            <w:pPr>
              <w:jc w:val="left"/>
            </w:pPr>
            <w:r>
              <w:t>中美周期联动判定</w:t>
            </w:r>
          </w:p>
        </w:tc>
        <w:tc>
          <w:tcPr>
            <w:tcW w:w="2076" w:type="dxa"/>
            <w:vAlign w:val="center"/>
          </w:tcPr>
          <w:p w14:paraId="4C40B27D">
            <w:pPr>
              <w:jc w:val="left"/>
            </w:pPr>
            <w:r>
              <w:t>对称/非对称/反馈循环</w:t>
            </w:r>
          </w:p>
        </w:tc>
        <w:tc>
          <w:tcPr>
            <w:tcW w:w="2076" w:type="dxa"/>
            <w:vAlign w:val="center"/>
          </w:tcPr>
          <w:p w14:paraId="71AD93B8">
            <w:pPr>
              <w:jc w:val="left"/>
            </w:pPr>
            <w:r>
              <w:t>既有</w:t>
            </w:r>
          </w:p>
        </w:tc>
      </w:tr>
      <w:tr w14:paraId="3479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0B3DACF">
            <w:pPr>
              <w:jc w:val="left"/>
            </w:pPr>
            <w:r>
              <w:t>5</w:t>
            </w:r>
          </w:p>
        </w:tc>
        <w:tc>
          <w:tcPr>
            <w:tcW w:w="2076" w:type="dxa"/>
            <w:vAlign w:val="center"/>
          </w:tcPr>
          <w:p w14:paraId="57CE4407">
            <w:pPr>
              <w:jc w:val="left"/>
            </w:pPr>
            <w:r>
              <w:t>Layer 2.5 全球宏观三角定位</w:t>
            </w:r>
          </w:p>
        </w:tc>
        <w:tc>
          <w:tcPr>
            <w:tcW w:w="2076" w:type="dxa"/>
            <w:vAlign w:val="center"/>
          </w:tcPr>
          <w:p w14:paraId="1915799D">
            <w:pPr>
              <w:jc w:val="left"/>
            </w:pPr>
            <w:r>
              <w:t>全球紧缩/宽松/滞胀/通缩</w:t>
            </w:r>
          </w:p>
        </w:tc>
        <w:tc>
          <w:tcPr>
            <w:tcW w:w="2076" w:type="dxa"/>
            <w:vAlign w:val="center"/>
          </w:tcPr>
          <w:p w14:paraId="0B43449F">
            <w:pPr>
              <w:jc w:val="left"/>
            </w:pPr>
          </w:p>
        </w:tc>
      </w:tr>
      <w:tr w14:paraId="5BE5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6E27BE2">
            <w:pPr>
              <w:jc w:val="left"/>
            </w:pPr>
            <w:r>
              <w:t>6</w:t>
            </w:r>
          </w:p>
        </w:tc>
        <w:tc>
          <w:tcPr>
            <w:tcW w:w="2076" w:type="dxa"/>
            <w:vAlign w:val="center"/>
          </w:tcPr>
          <w:p w14:paraId="68B4870F">
            <w:pPr>
              <w:jc w:val="left"/>
            </w:pPr>
            <w:r>
              <w:t>预期差信号汇总</w:t>
            </w:r>
          </w:p>
        </w:tc>
        <w:tc>
          <w:tcPr>
            <w:tcW w:w="2076" w:type="dxa"/>
            <w:vAlign w:val="center"/>
          </w:tcPr>
          <w:p w14:paraId="2C1CE967">
            <w:pPr>
              <w:jc w:val="left"/>
            </w:pPr>
            <w:r>
              <w:t>A/B/C 三类信号方向与强度</w:t>
            </w:r>
          </w:p>
        </w:tc>
        <w:tc>
          <w:tcPr>
            <w:tcW w:w="2076" w:type="dxa"/>
            <w:vAlign w:val="center"/>
          </w:tcPr>
          <w:p w14:paraId="775ABF04">
            <w:pPr>
              <w:jc w:val="left"/>
            </w:pPr>
          </w:p>
        </w:tc>
      </w:tr>
      <w:tr w14:paraId="7B1F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84A12B8">
            <w:pPr>
              <w:jc w:val="left"/>
            </w:pPr>
            <w:r>
              <w:t>7</w:t>
            </w:r>
          </w:p>
        </w:tc>
        <w:tc>
          <w:tcPr>
            <w:tcW w:w="2076" w:type="dxa"/>
            <w:vAlign w:val="center"/>
          </w:tcPr>
          <w:p w14:paraId="38FBB0D4">
            <w:pPr>
              <w:jc w:val="left"/>
            </w:pPr>
            <w:r>
              <w:t>A 股信号方向</w:t>
            </w:r>
          </w:p>
        </w:tc>
        <w:tc>
          <w:tcPr>
            <w:tcW w:w="2076" w:type="dxa"/>
            <w:vAlign w:val="center"/>
          </w:tcPr>
          <w:p w14:paraId="2B26F834">
            <w:pPr>
              <w:jc w:val="left"/>
            </w:pPr>
            <w:r>
              <w:t>多/空/中性 + 强度</w:t>
            </w:r>
          </w:p>
        </w:tc>
        <w:tc>
          <w:tcPr>
            <w:tcW w:w="2076" w:type="dxa"/>
            <w:vAlign w:val="center"/>
          </w:tcPr>
          <w:p w14:paraId="060EA260">
            <w:pPr>
              <w:jc w:val="left"/>
            </w:pPr>
            <w:r>
              <w:t>既有</w:t>
            </w:r>
          </w:p>
        </w:tc>
      </w:tr>
      <w:tr w14:paraId="263F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DA48E60">
            <w:pPr>
              <w:jc w:val="left"/>
            </w:pPr>
            <w:r>
              <w:t>8</w:t>
            </w:r>
          </w:p>
        </w:tc>
        <w:tc>
          <w:tcPr>
            <w:tcW w:w="2076" w:type="dxa"/>
            <w:vAlign w:val="center"/>
          </w:tcPr>
          <w:p w14:paraId="7E3A0C85">
            <w:pPr>
              <w:jc w:val="left"/>
            </w:pPr>
            <w:r>
              <w:t>美股信号方向</w:t>
            </w:r>
          </w:p>
        </w:tc>
        <w:tc>
          <w:tcPr>
            <w:tcW w:w="2076" w:type="dxa"/>
            <w:vAlign w:val="center"/>
          </w:tcPr>
          <w:p w14:paraId="3B79C3F7">
            <w:pPr>
              <w:jc w:val="left"/>
            </w:pPr>
            <w:r>
              <w:t>多/空/中性 + 强度</w:t>
            </w:r>
          </w:p>
        </w:tc>
        <w:tc>
          <w:tcPr>
            <w:tcW w:w="2076" w:type="dxa"/>
            <w:vAlign w:val="center"/>
          </w:tcPr>
          <w:p w14:paraId="435D4D71">
            <w:pPr>
              <w:jc w:val="left"/>
            </w:pPr>
            <w:r>
              <w:t>既有</w:t>
            </w:r>
          </w:p>
        </w:tc>
      </w:tr>
      <w:tr w14:paraId="4F0F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83AA2B2">
            <w:pPr>
              <w:jc w:val="left"/>
            </w:pPr>
            <w:r>
              <w:t>9</w:t>
            </w:r>
          </w:p>
        </w:tc>
        <w:tc>
          <w:tcPr>
            <w:tcW w:w="2076" w:type="dxa"/>
            <w:vAlign w:val="center"/>
          </w:tcPr>
          <w:p w14:paraId="0AD8D4C7">
            <w:pPr>
              <w:jc w:val="left"/>
            </w:pPr>
            <w:r>
              <w:t>资产配置权重</w:t>
            </w:r>
          </w:p>
        </w:tc>
        <w:tc>
          <w:tcPr>
            <w:tcW w:w="2076" w:type="dxa"/>
            <w:vAlign w:val="center"/>
          </w:tcPr>
          <w:p w14:paraId="179BEE83">
            <w:pPr>
              <w:jc w:val="left"/>
            </w:pPr>
            <w:r>
              <w:t>Beta + Alpha 分层权重表</w:t>
            </w:r>
          </w:p>
        </w:tc>
        <w:tc>
          <w:tcPr>
            <w:tcW w:w="2076" w:type="dxa"/>
            <w:vAlign w:val="center"/>
          </w:tcPr>
          <w:p w14:paraId="3BF1D7BF">
            <w:pPr>
              <w:jc w:val="left"/>
            </w:pPr>
          </w:p>
        </w:tc>
      </w:tr>
      <w:tr w14:paraId="17C6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CCA98AE">
            <w:pPr>
              <w:jc w:val="left"/>
            </w:pPr>
            <w:r>
              <w:t>10</w:t>
            </w:r>
          </w:p>
        </w:tc>
        <w:tc>
          <w:tcPr>
            <w:tcW w:w="2076" w:type="dxa"/>
            <w:vAlign w:val="center"/>
          </w:tcPr>
          <w:p w14:paraId="7EF22CBF">
            <w:pPr>
              <w:jc w:val="left"/>
            </w:pPr>
            <w:r>
              <w:t>A 股行业配置</w:t>
            </w:r>
          </w:p>
        </w:tc>
        <w:tc>
          <w:tcPr>
            <w:tcW w:w="2076" w:type="dxa"/>
            <w:vAlign w:val="center"/>
          </w:tcPr>
          <w:p w14:paraId="7A32722C">
            <w:pPr>
              <w:jc w:val="left"/>
            </w:pPr>
            <w:r>
              <w:t>申万一级行业超配/低配建议</w:t>
            </w:r>
          </w:p>
        </w:tc>
        <w:tc>
          <w:tcPr>
            <w:tcW w:w="2076" w:type="dxa"/>
            <w:vAlign w:val="center"/>
          </w:tcPr>
          <w:p w14:paraId="0AA19E54">
            <w:pPr>
              <w:jc w:val="left"/>
            </w:pPr>
            <w:r>
              <w:t>既有</w:t>
            </w:r>
          </w:p>
        </w:tc>
      </w:tr>
      <w:tr w14:paraId="3AA1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982AD52">
            <w:pPr>
              <w:jc w:val="left"/>
            </w:pPr>
            <w:r>
              <w:t>11</w:t>
            </w:r>
          </w:p>
        </w:tc>
        <w:tc>
          <w:tcPr>
            <w:tcW w:w="2076" w:type="dxa"/>
            <w:vAlign w:val="center"/>
          </w:tcPr>
          <w:p w14:paraId="4F2C7AAF">
            <w:pPr>
              <w:jc w:val="left"/>
            </w:pPr>
            <w:r>
              <w:t>美股行业配置</w:t>
            </w:r>
          </w:p>
        </w:tc>
        <w:tc>
          <w:tcPr>
            <w:tcW w:w="2076" w:type="dxa"/>
            <w:vAlign w:val="center"/>
          </w:tcPr>
          <w:p w14:paraId="59206E10">
            <w:pPr>
              <w:jc w:val="left"/>
            </w:pPr>
            <w:r>
              <w:t>GICS 一级行业超配/低配建议</w:t>
            </w:r>
          </w:p>
        </w:tc>
        <w:tc>
          <w:tcPr>
            <w:tcW w:w="2076" w:type="dxa"/>
            <w:vAlign w:val="center"/>
          </w:tcPr>
          <w:p w14:paraId="43FE64F8">
            <w:pPr>
              <w:jc w:val="left"/>
            </w:pPr>
            <w:r>
              <w:t>既有</w:t>
            </w:r>
          </w:p>
        </w:tc>
      </w:tr>
      <w:tr w14:paraId="6AEC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643E0F5">
            <w:pPr>
              <w:jc w:val="left"/>
            </w:pPr>
            <w:r>
              <w:t>12</w:t>
            </w:r>
          </w:p>
        </w:tc>
        <w:tc>
          <w:tcPr>
            <w:tcW w:w="2076" w:type="dxa"/>
            <w:vAlign w:val="center"/>
          </w:tcPr>
          <w:p w14:paraId="6254847F">
            <w:pPr>
              <w:jc w:val="left"/>
            </w:pPr>
            <w:r>
              <w:t>核心依据</w:t>
            </w:r>
          </w:p>
        </w:tc>
        <w:tc>
          <w:tcPr>
            <w:tcW w:w="2076" w:type="dxa"/>
            <w:vAlign w:val="center"/>
          </w:tcPr>
          <w:p w14:paraId="0F5B4DE2">
            <w:pPr>
              <w:jc w:val="left"/>
            </w:pPr>
            <w:r>
              <w:t>本周信号驱动的关键逻辑摘要</w:t>
            </w:r>
          </w:p>
        </w:tc>
        <w:tc>
          <w:tcPr>
            <w:tcW w:w="2076" w:type="dxa"/>
            <w:vAlign w:val="center"/>
          </w:tcPr>
          <w:p w14:paraId="512ABB51">
            <w:pPr>
              <w:jc w:val="left"/>
            </w:pPr>
            <w:r>
              <w:t>既有</w:t>
            </w:r>
          </w:p>
        </w:tc>
      </w:tr>
      <w:tr w14:paraId="604E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7B6B618">
            <w:pPr>
              <w:jc w:val="left"/>
            </w:pPr>
            <w:r>
              <w:t>13</w:t>
            </w:r>
          </w:p>
        </w:tc>
        <w:tc>
          <w:tcPr>
            <w:tcW w:w="2076" w:type="dxa"/>
            <w:vAlign w:val="center"/>
          </w:tcPr>
          <w:p w14:paraId="287C7AD6">
            <w:pPr>
              <w:jc w:val="left"/>
            </w:pPr>
            <w:r>
              <w:t>尾部风险提示</w:t>
            </w:r>
          </w:p>
        </w:tc>
        <w:tc>
          <w:tcPr>
            <w:tcW w:w="2076" w:type="dxa"/>
            <w:vAlign w:val="center"/>
          </w:tcPr>
          <w:p w14:paraId="727EC6C9">
            <w:pPr>
              <w:jc w:val="left"/>
            </w:pPr>
            <w:r>
              <w:t>最大回撤风险、极端情景应对</w:t>
            </w:r>
          </w:p>
        </w:tc>
        <w:tc>
          <w:tcPr>
            <w:tcW w:w="2076" w:type="dxa"/>
            <w:vAlign w:val="center"/>
          </w:tcPr>
          <w:p w14:paraId="1B17C51A">
            <w:pPr>
              <w:jc w:val="left"/>
            </w:pPr>
            <w:r>
              <w:t>既有</w:t>
            </w:r>
          </w:p>
        </w:tc>
      </w:tr>
      <w:tr w14:paraId="4DF9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9B4EEA8">
            <w:pPr>
              <w:jc w:val="left"/>
            </w:pPr>
            <w:r>
              <w:t>14</w:t>
            </w:r>
          </w:p>
        </w:tc>
        <w:tc>
          <w:tcPr>
            <w:tcW w:w="2076" w:type="dxa"/>
            <w:vAlign w:val="center"/>
          </w:tcPr>
          <w:p w14:paraId="2C65FA9B">
            <w:pPr>
              <w:jc w:val="left"/>
            </w:pPr>
            <w:r>
              <w:t>信号有效性评级</w:t>
            </w:r>
          </w:p>
        </w:tc>
        <w:tc>
          <w:tcPr>
            <w:tcW w:w="2076" w:type="dxa"/>
            <w:vAlign w:val="center"/>
          </w:tcPr>
          <w:p w14:paraId="4DFC3127">
            <w:pPr>
              <w:jc w:val="left"/>
            </w:pPr>
            <w:r>
              <w:t>各信号强度评分 + 衰减状态 + 复核标记</w:t>
            </w:r>
          </w:p>
        </w:tc>
        <w:tc>
          <w:tcPr>
            <w:tcW w:w="2076" w:type="dxa"/>
            <w:vAlign w:val="center"/>
          </w:tcPr>
          <w:p w14:paraId="1D9B28EF">
            <w:pPr>
              <w:jc w:val="left"/>
            </w:pPr>
            <w:r>
              <w:t>既有（升级为强度百分位）</w:t>
            </w:r>
          </w:p>
        </w:tc>
      </w:tr>
      <w:tr w14:paraId="6296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E941855">
            <w:pPr>
              <w:jc w:val="left"/>
            </w:pPr>
            <w:r>
              <w:t>15</w:t>
            </w:r>
          </w:p>
        </w:tc>
        <w:tc>
          <w:tcPr>
            <w:tcW w:w="2076" w:type="dxa"/>
            <w:vAlign w:val="center"/>
          </w:tcPr>
          <w:p w14:paraId="066E790A">
            <w:pPr>
              <w:jc w:val="left"/>
            </w:pPr>
            <w:r>
              <w:t>反身性压力计</w:t>
            </w:r>
          </w:p>
        </w:tc>
        <w:tc>
          <w:tcPr>
            <w:tcW w:w="2076" w:type="dxa"/>
            <w:vAlign w:val="center"/>
          </w:tcPr>
          <w:p w14:paraId="2D59680B">
            <w:pPr>
              <w:jc w:val="left"/>
            </w:pPr>
            <w:r>
              <w:t>压力综合得分 + 四项子指标 + 压力等级</w:t>
            </w:r>
          </w:p>
        </w:tc>
        <w:tc>
          <w:tcPr>
            <w:tcW w:w="2076" w:type="dxa"/>
            <w:vAlign w:val="center"/>
          </w:tcPr>
          <w:p w14:paraId="68E18CE9">
            <w:pPr>
              <w:jc w:val="left"/>
            </w:pPr>
            <w:r>
              <w:rPr>
                <w:b/>
              </w:rPr>
              <w:t>V3.1 新增</w:t>
            </w:r>
          </w:p>
        </w:tc>
      </w:tr>
      <w:tr w14:paraId="3E7A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867A3BE">
            <w:pPr>
              <w:jc w:val="left"/>
            </w:pPr>
            <w:r>
              <w:t>16</w:t>
            </w:r>
          </w:p>
        </w:tc>
        <w:tc>
          <w:tcPr>
            <w:tcW w:w="2076" w:type="dxa"/>
            <w:vAlign w:val="center"/>
          </w:tcPr>
          <w:p w14:paraId="077CE805">
            <w:pPr>
              <w:jc w:val="left"/>
            </w:pPr>
            <w:r>
              <w:t>范式稳定性判定</w:t>
            </w:r>
          </w:p>
        </w:tc>
        <w:tc>
          <w:tcPr>
            <w:tcW w:w="2076" w:type="dxa"/>
            <w:vAlign w:val="center"/>
          </w:tcPr>
          <w:p w14:paraId="48716ADF">
            <w:pPr>
              <w:jc w:val="left"/>
            </w:pPr>
            <w:r>
              <w:t>稳定/动摇/转移 + 触发代理指标</w:t>
            </w:r>
          </w:p>
        </w:tc>
        <w:tc>
          <w:tcPr>
            <w:tcW w:w="2076" w:type="dxa"/>
            <w:vAlign w:val="center"/>
          </w:tcPr>
          <w:p w14:paraId="50D61A52">
            <w:pPr>
              <w:jc w:val="left"/>
            </w:pPr>
            <w:r>
              <w:rPr>
                <w:b/>
              </w:rPr>
              <w:t>V3.1 新增</w:t>
            </w:r>
          </w:p>
        </w:tc>
      </w:tr>
      <w:tr w14:paraId="3D5C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5E73E16">
            <w:pPr>
              <w:jc w:val="left"/>
            </w:pPr>
            <w:r>
              <w:t>17</w:t>
            </w:r>
          </w:p>
        </w:tc>
        <w:tc>
          <w:tcPr>
            <w:tcW w:w="2076" w:type="dxa"/>
            <w:vAlign w:val="center"/>
          </w:tcPr>
          <w:p w14:paraId="13A2FB8D">
            <w:pPr>
              <w:jc w:val="left"/>
            </w:pPr>
            <w:r>
              <w:t>逻辑生命周期修正</w:t>
            </w:r>
          </w:p>
        </w:tc>
        <w:tc>
          <w:tcPr>
            <w:tcW w:w="2076" w:type="dxa"/>
            <w:vAlign w:val="center"/>
          </w:tcPr>
          <w:p w14:paraId="754E8E21">
            <w:pPr>
              <w:jc w:val="left"/>
            </w:pPr>
            <w:r>
              <w:t>各信号的逻辑阶段 + 修正系数</w:t>
            </w:r>
          </w:p>
        </w:tc>
        <w:tc>
          <w:tcPr>
            <w:tcW w:w="2076" w:type="dxa"/>
            <w:vAlign w:val="center"/>
          </w:tcPr>
          <w:p w14:paraId="5B4FC32A">
            <w:pPr>
              <w:jc w:val="left"/>
            </w:pPr>
            <w:r>
              <w:rPr>
                <w:b/>
              </w:rPr>
              <w:t>V3.1 新增</w:t>
            </w:r>
          </w:p>
        </w:tc>
      </w:tr>
      <w:tr w14:paraId="6AF4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C046D46">
            <w:pPr>
              <w:jc w:val="left"/>
            </w:pPr>
            <w:r>
              <w:t>18</w:t>
            </w:r>
          </w:p>
        </w:tc>
        <w:tc>
          <w:tcPr>
            <w:tcW w:w="2076" w:type="dxa"/>
            <w:vAlign w:val="center"/>
          </w:tcPr>
          <w:p w14:paraId="1D43A401">
            <w:pPr>
              <w:jc w:val="left"/>
            </w:pPr>
            <w:r>
              <w:t>信号修正汇总</w:t>
            </w:r>
          </w:p>
        </w:tc>
        <w:tc>
          <w:tcPr>
            <w:tcW w:w="2076" w:type="dxa"/>
            <w:vAlign w:val="center"/>
          </w:tcPr>
          <w:p w14:paraId="3D230718">
            <w:pPr>
              <w:jc w:val="left"/>
            </w:pPr>
            <w:r>
              <w:t>初始强度 → 三重修正 → 修正后强度</w:t>
            </w:r>
          </w:p>
        </w:tc>
        <w:tc>
          <w:tcPr>
            <w:tcW w:w="2076" w:type="dxa"/>
            <w:vAlign w:val="center"/>
          </w:tcPr>
          <w:p w14:paraId="0763E74A">
            <w:pPr>
              <w:jc w:val="left"/>
            </w:pPr>
            <w:r>
              <w:rPr>
                <w:b/>
              </w:rPr>
              <w:t>V3.1 新增</w:t>
            </w:r>
          </w:p>
        </w:tc>
      </w:tr>
      <w:tr w14:paraId="7E06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D410914">
            <w:pPr>
              <w:jc w:val="left"/>
            </w:pPr>
            <w:r>
              <w:t>19</w:t>
            </w:r>
          </w:p>
        </w:tc>
        <w:tc>
          <w:tcPr>
            <w:tcW w:w="2076" w:type="dxa"/>
            <w:vAlign w:val="center"/>
          </w:tcPr>
          <w:p w14:paraId="30751F40">
            <w:pPr>
              <w:jc w:val="left"/>
            </w:pPr>
            <w:r>
              <w:t>人类裁决状态</w:t>
            </w:r>
          </w:p>
        </w:tc>
        <w:tc>
          <w:tcPr>
            <w:tcW w:w="2076" w:type="dxa"/>
            <w:vAlign w:val="center"/>
          </w:tcPr>
          <w:p w14:paraId="2CD25D9B">
            <w:pPr>
              <w:jc w:val="left"/>
            </w:pPr>
            <w:r>
              <w:t>触发/未触发 + 裁决结论</w:t>
            </w:r>
          </w:p>
        </w:tc>
        <w:tc>
          <w:tcPr>
            <w:tcW w:w="2076" w:type="dxa"/>
            <w:vAlign w:val="center"/>
          </w:tcPr>
          <w:p w14:paraId="43A5BFB1">
            <w:pPr>
              <w:jc w:val="left"/>
            </w:pPr>
            <w:r>
              <w:rPr>
                <w:b/>
              </w:rPr>
              <w:t>V3.1 新增</w:t>
            </w:r>
          </w:p>
        </w:tc>
      </w:tr>
      <w:tr w14:paraId="27EC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AE33083">
            <w:pPr>
              <w:jc w:val="left"/>
            </w:pPr>
            <w:r>
              <w:t>20</w:t>
            </w:r>
          </w:p>
        </w:tc>
        <w:tc>
          <w:tcPr>
            <w:tcW w:w="2076" w:type="dxa"/>
            <w:vAlign w:val="center"/>
          </w:tcPr>
          <w:p w14:paraId="03081874">
            <w:pPr>
              <w:jc w:val="left"/>
            </w:pPr>
            <w:r>
              <w:t>合规免责声明</w:t>
            </w:r>
          </w:p>
        </w:tc>
        <w:tc>
          <w:tcPr>
            <w:tcW w:w="2076" w:type="dxa"/>
            <w:vAlign w:val="center"/>
          </w:tcPr>
          <w:p w14:paraId="43E49E5F">
            <w:pPr>
              <w:jc w:val="left"/>
            </w:pPr>
            <w:r>
              <w:t>标准合规文本</w:t>
            </w:r>
          </w:p>
        </w:tc>
        <w:tc>
          <w:tcPr>
            <w:tcW w:w="2076" w:type="dxa"/>
            <w:vAlign w:val="center"/>
          </w:tcPr>
          <w:p w14:paraId="2F68C0D2">
            <w:pPr>
              <w:jc w:val="left"/>
            </w:pPr>
            <w:r>
              <w:t>既有</w:t>
            </w:r>
          </w:p>
        </w:tc>
      </w:tr>
    </w:tbl>
    <w:p w14:paraId="1A5221E0">
      <w:pPr>
        <w:pBdr>
          <w:bottom w:val="single" w:color="auto" w:sz="8" w:space="0"/>
        </w:pBdr>
      </w:pPr>
    </w:p>
    <w:p w14:paraId="6A4A35D5">
      <w:pPr>
        <w:pStyle w:val="9"/>
      </w:pPr>
      <w:r>
        <w:t>Layer 5 输出形态汇总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2AA8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9E907FC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1984FF4F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00EFBB97">
            <w:pPr>
              <w:jc w:val="left"/>
            </w:pPr>
            <w:r>
              <w:t>频率</w:t>
            </w:r>
          </w:p>
        </w:tc>
      </w:tr>
      <w:tr w14:paraId="26E7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488DAA1">
            <w:pPr>
              <w:jc w:val="left"/>
            </w:pPr>
            <w:r>
              <w:t>Beta 基准权重</w:t>
            </w:r>
          </w:p>
        </w:tc>
        <w:tc>
          <w:tcPr>
            <w:tcW w:w="2076" w:type="dxa"/>
            <w:vAlign w:val="center"/>
          </w:tcPr>
          <w:p w14:paraId="15C12FC7">
            <w:pPr>
              <w:jc w:val="left"/>
            </w:pPr>
            <w:r>
              <w:t>5 类资产权重表</w:t>
            </w:r>
          </w:p>
        </w:tc>
        <w:tc>
          <w:tcPr>
            <w:tcW w:w="2076" w:type="dxa"/>
            <w:vAlign w:val="center"/>
          </w:tcPr>
          <w:p w14:paraId="0ABFFA26">
            <w:pPr>
              <w:jc w:val="left"/>
            </w:pPr>
            <w:r>
              <w:t>月度（波动率再平衡）</w:t>
            </w:r>
          </w:p>
        </w:tc>
      </w:tr>
      <w:tr w14:paraId="015F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AA3E1D3">
            <w:pPr>
              <w:jc w:val="left"/>
            </w:pPr>
            <w:r>
              <w:t>Alpha 偏离权重</w:t>
            </w:r>
          </w:p>
        </w:tc>
        <w:tc>
          <w:tcPr>
            <w:tcW w:w="2076" w:type="dxa"/>
            <w:vAlign w:val="center"/>
          </w:tcPr>
          <w:p w14:paraId="064C8C93">
            <w:pPr>
              <w:jc w:val="left"/>
            </w:pPr>
            <w:r>
              <w:t>信号驱动的偏离幅度</w:t>
            </w:r>
          </w:p>
        </w:tc>
        <w:tc>
          <w:tcPr>
            <w:tcW w:w="2076" w:type="dxa"/>
            <w:vAlign w:val="center"/>
          </w:tcPr>
          <w:p w14:paraId="22C85CBF">
            <w:pPr>
              <w:jc w:val="left"/>
            </w:pPr>
            <w:r>
              <w:t>周度</w:t>
            </w:r>
          </w:p>
        </w:tc>
      </w:tr>
      <w:tr w14:paraId="3F7D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F6F1EC1">
            <w:pPr>
              <w:jc w:val="left"/>
            </w:pPr>
            <w:r>
              <w:t>最终资产配置权重</w:t>
            </w:r>
          </w:p>
        </w:tc>
        <w:tc>
          <w:tcPr>
            <w:tcW w:w="2076" w:type="dxa"/>
            <w:vAlign w:val="center"/>
          </w:tcPr>
          <w:p w14:paraId="0EC3D13E">
            <w:pPr>
              <w:jc w:val="left"/>
            </w:pPr>
            <w:r>
              <w:t>Beta + Alpha 合并</w:t>
            </w:r>
          </w:p>
        </w:tc>
        <w:tc>
          <w:tcPr>
            <w:tcW w:w="2076" w:type="dxa"/>
            <w:vAlign w:val="center"/>
          </w:tcPr>
          <w:p w14:paraId="7BBBE9FB">
            <w:pPr>
              <w:jc w:val="left"/>
            </w:pPr>
            <w:r>
              <w:t>周度</w:t>
            </w:r>
          </w:p>
        </w:tc>
      </w:tr>
      <w:tr w14:paraId="71DD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E8A303">
            <w:pPr>
              <w:jc w:val="left"/>
            </w:pPr>
            <w:r>
              <w:t>行业配置建议</w:t>
            </w:r>
          </w:p>
        </w:tc>
        <w:tc>
          <w:tcPr>
            <w:tcW w:w="2076" w:type="dxa"/>
            <w:vAlign w:val="center"/>
          </w:tcPr>
          <w:p w14:paraId="3600A8D6">
            <w:pPr>
              <w:jc w:val="left"/>
            </w:pPr>
            <w:r>
              <w:t>A 股 + 美股行业超配/低配</w:t>
            </w:r>
          </w:p>
        </w:tc>
        <w:tc>
          <w:tcPr>
            <w:tcW w:w="2076" w:type="dxa"/>
            <w:vAlign w:val="center"/>
          </w:tcPr>
          <w:p w14:paraId="2AA45F68">
            <w:pPr>
              <w:jc w:val="left"/>
            </w:pPr>
            <w:r>
              <w:t>周度</w:t>
            </w:r>
          </w:p>
        </w:tc>
      </w:tr>
      <w:tr w14:paraId="25CC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D3ABC4D">
            <w:pPr>
              <w:jc w:val="left"/>
            </w:pPr>
            <w:r>
              <w:t>风险预算校验</w:t>
            </w:r>
          </w:p>
        </w:tc>
        <w:tc>
          <w:tcPr>
            <w:tcW w:w="2076" w:type="dxa"/>
            <w:vAlign w:val="center"/>
          </w:tcPr>
          <w:p w14:paraId="7DB499C0">
            <w:pPr>
              <w:jc w:val="left"/>
            </w:pPr>
            <w:r>
              <w:t>约束触发/通过状态</w:t>
            </w:r>
          </w:p>
        </w:tc>
        <w:tc>
          <w:tcPr>
            <w:tcW w:w="2076" w:type="dxa"/>
            <w:vAlign w:val="center"/>
          </w:tcPr>
          <w:p w14:paraId="13B319EE">
            <w:pPr>
              <w:jc w:val="left"/>
            </w:pPr>
            <w:r>
              <w:t>周度</w:t>
            </w:r>
          </w:p>
        </w:tc>
      </w:tr>
      <w:tr w14:paraId="72EF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8E9940E">
            <w:pPr>
              <w:jc w:val="left"/>
            </w:pPr>
            <w:r>
              <w:t>Layer 4.5 元认知修正</w:t>
            </w:r>
          </w:p>
        </w:tc>
        <w:tc>
          <w:tcPr>
            <w:tcW w:w="2076" w:type="dxa"/>
            <w:vAlign w:val="center"/>
          </w:tcPr>
          <w:p w14:paraId="29BE55F6">
            <w:pPr>
              <w:jc w:val="left"/>
            </w:pPr>
            <w:r>
              <w:t>三重修正系数 + 修正后信号强度</w:t>
            </w:r>
          </w:p>
        </w:tc>
        <w:tc>
          <w:tcPr>
            <w:tcW w:w="2076" w:type="dxa"/>
            <w:vAlign w:val="center"/>
          </w:tcPr>
          <w:p w14:paraId="0B1ADDD6">
            <w:pPr>
              <w:jc w:val="left"/>
            </w:pPr>
            <w:r>
              <w:t>周度</w:t>
            </w:r>
          </w:p>
        </w:tc>
      </w:tr>
      <w:tr w14:paraId="6E59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22C50BB">
            <w:pPr>
              <w:jc w:val="left"/>
            </w:pPr>
            <w:r>
              <w:t>标准化信号输出模板</w:t>
            </w:r>
          </w:p>
        </w:tc>
        <w:tc>
          <w:tcPr>
            <w:tcW w:w="2076" w:type="dxa"/>
            <w:vAlign w:val="center"/>
          </w:tcPr>
          <w:p w14:paraId="543B83B4">
            <w:pPr>
              <w:jc w:val="left"/>
            </w:pPr>
            <w:r>
              <w:t>20 项完整模板</w:t>
            </w:r>
          </w:p>
        </w:tc>
        <w:tc>
          <w:tcPr>
            <w:tcW w:w="2076" w:type="dxa"/>
            <w:vAlign w:val="center"/>
          </w:tcPr>
          <w:p w14:paraId="5A23FF3E">
            <w:pPr>
              <w:jc w:val="left"/>
            </w:pPr>
            <w:r>
              <w:t>周度</w:t>
            </w:r>
          </w:p>
        </w:tc>
      </w:tr>
    </w:tbl>
    <w:p w14:paraId="35B20E26">
      <w:pPr>
        <w:pStyle w:val="4"/>
      </w:pPr>
      <w:r>
        <w:rPr>
          <w:b/>
        </w:rPr>
        <w:t>数据流向：</w:t>
      </w:r>
      <w:r>
        <w:t xml:space="preserve"> Layer 4（预期差信号方向 + 初始强度）→ </w:t>
      </w:r>
      <w:r>
        <w:rPr>
          <w:b/>
        </w:rPr>
        <w:t>Layer 4.5（三重修正 → 修正后信号强度）</w:t>
      </w:r>
      <w:r>
        <w:t xml:space="preserve"> + Layer 2.5（枢纽变量信号）→ Layer 5（Beta 基准 + Alpha 偏离 → 最终资产配置权重 + 行业配置 + 风险预算校验）</w:t>
      </w:r>
    </w:p>
    <w:p w14:paraId="6B4F96CE">
      <w:pPr>
        <w:pBdr>
          <w:bottom w:val="single" w:color="auto" w:sz="8" w:space="0"/>
        </w:pBdr>
      </w:pPr>
    </w:p>
    <w:p w14:paraId="4AB079E0">
      <w:pPr>
        <w:pStyle w:val="6"/>
      </w:pPr>
      <w:r>
        <w:t>4.4 异常场景处理规则</w:t>
      </w:r>
    </w:p>
    <w:p w14:paraId="1D4D7F10">
      <w:pPr>
        <w:pStyle w:val="4"/>
      </w:pPr>
      <w:r>
        <w:t>针对市场极端情况、数据异常、政策突变等非常规场景，制定分级处理规则，禁止主观决策；异常场景下，仍需以 4.2 拐点标准为核心，不随意否定周期阶段。</w:t>
      </w:r>
    </w:p>
    <w:p w14:paraId="7D881DA7">
      <w:pPr>
        <w:pBdr>
          <w:bottom w:val="single" w:color="auto" w:sz="8" w:space="0"/>
        </w:pBdr>
      </w:pPr>
    </w:p>
    <w:p w14:paraId="5FA53DE6">
      <w:pPr>
        <w:pStyle w:val="7"/>
      </w:pPr>
      <w:r>
        <w:t>4.4.1 黑天鹅事件分级处理</w:t>
      </w:r>
    </w:p>
    <w:p w14:paraId="4963339A">
      <w:pPr>
        <w:pStyle w:val="4"/>
      </w:pPr>
      <w:r>
        <w:rPr>
          <w:b/>
        </w:rPr>
        <w:t>冲击分级量化标准（满足任意 2 条即升级）：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674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018E57D">
            <w:pPr>
              <w:jc w:val="left"/>
            </w:pPr>
            <w:r>
              <w:t>分级</w:t>
            </w:r>
          </w:p>
        </w:tc>
        <w:tc>
          <w:tcPr>
            <w:tcW w:w="2768" w:type="dxa"/>
            <w:vAlign w:val="center"/>
          </w:tcPr>
          <w:p w14:paraId="0302E215">
            <w:pPr>
              <w:jc w:val="left"/>
            </w:pPr>
            <w:r>
              <w:t>量化判定标准（满足任意 2 条即认定）</w:t>
            </w:r>
          </w:p>
        </w:tc>
        <w:tc>
          <w:tcPr>
            <w:tcW w:w="2768" w:type="dxa"/>
            <w:vAlign w:val="center"/>
          </w:tcPr>
          <w:p w14:paraId="76CF03AF">
            <w:pPr>
              <w:jc w:val="left"/>
            </w:pPr>
            <w:r>
              <w:t>处理规则</w:t>
            </w:r>
          </w:p>
        </w:tc>
      </w:tr>
      <w:tr w14:paraId="23F1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160E5E0">
            <w:pPr>
              <w:jc w:val="left"/>
            </w:pPr>
            <w:r>
              <w:rPr>
                <w:b/>
              </w:rPr>
              <w:t>轻度冲击</w:t>
            </w:r>
          </w:p>
        </w:tc>
        <w:tc>
          <w:tcPr>
            <w:tcW w:w="2768" w:type="dxa"/>
            <w:vAlign w:val="center"/>
          </w:tcPr>
          <w:p w14:paraId="541757DF">
            <w:pPr>
              <w:jc w:val="left"/>
            </w:pPr>
            <w:r>
              <w:t>1. VIX 单日攀升 &lt; 10 点</w:t>
            </w:r>
            <w:r>
              <w:br w:type="textWrapping"/>
            </w:r>
            <w:r>
              <w:t>2. 沪深 300 单日跌幅 &lt; 3%</w:t>
            </w:r>
            <w:r>
              <w:br w:type="textWrapping"/>
            </w:r>
            <w:r>
              <w:t>3. 北向资金单日净流出 &lt; 100 亿</w:t>
            </w:r>
          </w:p>
        </w:tc>
        <w:tc>
          <w:tcPr>
            <w:tcW w:w="2768" w:type="dxa"/>
            <w:vAlign w:val="center"/>
          </w:tcPr>
          <w:p w14:paraId="070D7C85">
            <w:pPr>
              <w:jc w:val="left"/>
            </w:pPr>
            <w:r>
              <w:t>维持常规分析流程，仅调整信号强度（下调 1-2 分）；不否定已有周期定位</w:t>
            </w:r>
          </w:p>
        </w:tc>
      </w:tr>
      <w:tr w14:paraId="32CF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F48B6C">
            <w:pPr>
              <w:jc w:val="left"/>
            </w:pPr>
            <w:r>
              <w:rPr>
                <w:b/>
              </w:rPr>
              <w:t>重度冲击</w:t>
            </w:r>
          </w:p>
        </w:tc>
        <w:tc>
          <w:tcPr>
            <w:tcW w:w="2768" w:type="dxa"/>
            <w:vAlign w:val="center"/>
          </w:tcPr>
          <w:p w14:paraId="7F23FAAE">
            <w:pPr>
              <w:jc w:val="left"/>
            </w:pPr>
            <w:r>
              <w:t xml:space="preserve">1. VIX 单日攀升 ≥ 10 点 </w:t>
            </w:r>
            <w:r>
              <w:rPr>
                <w:b/>
              </w:rPr>
              <w:t>或</w:t>
            </w:r>
            <w:r>
              <w:t xml:space="preserve"> VIX &gt; 30</w:t>
            </w:r>
            <w:r>
              <w:br w:type="textWrapping"/>
            </w:r>
            <w:r>
              <w:t>2. 沪深 300 单日跌幅 ≥ 5%</w:t>
            </w:r>
            <w:r>
              <w:br w:type="textWrapping"/>
            </w:r>
            <w:r>
              <w:t>3. 北向资金单日净流出 ≥ 200 亿 **或** 连续 5 日净流出</w:t>
            </w:r>
            <w:r>
              <w:br w:type="textWrapping"/>
            </w:r>
            <w:r>
              <w:t>4. 美元指数单日波动 &gt; 1.5%</w:t>
            </w:r>
          </w:p>
        </w:tc>
        <w:tc>
          <w:tcPr>
            <w:tcW w:w="2768" w:type="dxa"/>
            <w:vAlign w:val="center"/>
          </w:tcPr>
          <w:p w14:paraId="78251689">
            <w:pPr>
              <w:jc w:val="left"/>
            </w:pPr>
            <w:r>
              <w:t>暂停常规周期判断，优先跟踪全球流动性、VIX 恐慌指数；仅输出观望 / 风险预警信号；待事件冲击消退、数据回归趋势后，再重启 4.2、4.3 常规分析</w:t>
            </w:r>
          </w:p>
        </w:tc>
      </w:tr>
    </w:tbl>
    <w:p w14:paraId="2AD63957">
      <w:pPr>
        <w:pBdr>
          <w:bottom w:val="single" w:color="auto" w:sz="8" w:space="0"/>
        </w:pBdr>
      </w:pPr>
    </w:p>
    <w:p w14:paraId="73C59C1B">
      <w:pPr>
        <w:pStyle w:val="7"/>
      </w:pPr>
      <w:r>
        <w:t>4.4.2 政策超预期突变</w:t>
      </w:r>
    </w:p>
    <w:p w14:paraId="55488DF6">
      <w:pPr>
        <w:pStyle w:val="4"/>
        <w:numPr>
          <w:ilvl w:val="0"/>
          <w:numId w:val="42"/>
        </w:numPr>
      </w:pPr>
      <w:r>
        <w:rPr>
          <w:b/>
        </w:rPr>
        <w:t>常规政策调整：</w:t>
      </w:r>
      <w:r>
        <w:t xml:space="preserve"> 按原规则等待 1-2 个月核心指标验证，再按 4.2 拐点标准判定周期切换；</w:t>
      </w:r>
    </w:p>
    <w:p w14:paraId="7DD784B8">
      <w:pPr>
        <w:pStyle w:val="4"/>
        <w:numPr>
          <w:ilvl w:val="0"/>
          <w:numId w:val="42"/>
        </w:numPr>
      </w:pPr>
      <w:r>
        <w:rPr>
          <w:b/>
        </w:rPr>
        <w:t>历史级强政策对冲（量化标准见 3.3 第 10 条）：</w:t>
      </w:r>
      <w:r>
        <w:t xml:space="preserve"> 立即启动高频指标跟踪，可临时调整信号方向，同步等待月度数据验证；只有满足 4.2 的拐点确认标准，才能正式判定周期切换。</w:t>
      </w:r>
    </w:p>
    <w:p w14:paraId="1A6DBE0B">
      <w:pPr>
        <w:pBdr>
          <w:bottom w:val="single" w:color="auto" w:sz="8" w:space="0"/>
        </w:pBdr>
      </w:pPr>
    </w:p>
    <w:p w14:paraId="1B57AAE3">
      <w:pPr>
        <w:pStyle w:val="7"/>
      </w:pPr>
      <w:r>
        <w:t>4.4.3 数据大幅修正</w:t>
      </w:r>
    </w:p>
    <w:p w14:paraId="06F643F6">
      <w:pPr>
        <w:pStyle w:val="4"/>
      </w:pPr>
      <w:r>
        <w:t>按修正后的数据重新执行 4.2 拐点判定，仅调整未来信号，不追溯过往结论。</w:t>
      </w:r>
    </w:p>
    <w:p w14:paraId="0773D47B">
      <w:pPr>
        <w:pBdr>
          <w:bottom w:val="single" w:color="auto" w:sz="8" w:space="0"/>
        </w:pBdr>
      </w:pPr>
    </w:p>
    <w:p w14:paraId="54897B48">
      <w:pPr>
        <w:pStyle w:val="7"/>
      </w:pPr>
      <w:r>
        <w:t>4.4.4 中美周期严重分化</w:t>
      </w:r>
    </w:p>
    <w:p w14:paraId="0B82C425">
      <w:pPr>
        <w:pStyle w:val="4"/>
      </w:pPr>
      <w:r>
        <w:t xml:space="preserve">美联储大幅加息，国内大幅宽松（或反之），信号有效性直接下调至 </w:t>
      </w:r>
      <w:r>
        <w:rPr>
          <w:b/>
        </w:rPr>
        <w:t>5 分及以下</w:t>
      </w:r>
      <w:r>
        <w:t>，仅可输出结构性配置信号或观望信号，不做全面方向判断，等待周期收敛。</w:t>
      </w:r>
    </w:p>
    <w:p w14:paraId="1014AE21">
      <w:pPr>
        <w:pBdr>
          <w:bottom w:val="single" w:color="auto" w:sz="8" w:space="0"/>
        </w:pBdr>
      </w:pPr>
    </w:p>
    <w:p w14:paraId="69A7F19A">
      <w:pPr>
        <w:pStyle w:val="7"/>
      </w:pPr>
      <w:r>
        <w:t>4.4.5 流动性危机</w:t>
      </w:r>
    </w:p>
    <w:p w14:paraId="14DBD9EF">
      <w:pPr>
        <w:pStyle w:val="4"/>
      </w:pPr>
      <w:r>
        <w:t>银行间市场资金面异常紧张、美元流动性枯竭，无论周期定位如何，直接输出看空 / 观望信号，优先提示风险，待流动性环境回归正常后，再重启 4.2、4.3 常规分析。</w:t>
      </w:r>
    </w:p>
    <w:p w14:paraId="4B1959BE">
      <w:pPr>
        <w:pBdr>
          <w:bottom w:val="single" w:color="auto" w:sz="8" w:space="0"/>
        </w:pBdr>
      </w:pPr>
    </w:p>
    <w:p w14:paraId="23105D2E">
      <w:pPr>
        <w:pStyle w:val="7"/>
      </w:pPr>
      <w:r>
        <w:t>4.4.6 Sahm Rule 衰退预警</w:t>
      </w:r>
    </w:p>
    <w:p w14:paraId="3CE10485">
      <w:pPr>
        <w:pStyle w:val="4"/>
      </w:pPr>
      <w:r>
        <w:rPr>
          <w:b/>
        </w:rPr>
        <w:t>触发条件：</w:t>
      </w:r>
      <w:r>
        <w:t xml:space="preserve"> Sahm Rule 读数 ≥ 0.5（即当月失业率 3 个月均值 - 过去 12 个月失业率最低 3 个月均值 ≥ 0.5 个百分点）</w:t>
      </w:r>
    </w:p>
    <w:p w14:paraId="2F0E6643">
      <w:pPr>
        <w:pStyle w:val="4"/>
      </w:pPr>
      <w:r>
        <w:rPr>
          <w:b/>
        </w:rPr>
        <w:t>处理规则：</w:t>
      </w:r>
    </w:p>
    <w:p w14:paraId="77929252">
      <w:pPr>
        <w:pStyle w:val="4"/>
        <w:numPr>
          <w:ilvl w:val="0"/>
          <w:numId w:val="43"/>
        </w:numPr>
      </w:pPr>
      <w:r>
        <w:t>触发后，无论其他指标如何，**强制输出"美国衰退预警"**标志，在报告开头置顶显示；</w:t>
      </w:r>
    </w:p>
    <w:p w14:paraId="096B60F2">
      <w:pPr>
        <w:pStyle w:val="4"/>
        <w:numPr>
          <w:ilvl w:val="0"/>
          <w:numId w:val="43"/>
        </w:numPr>
      </w:pPr>
      <w:r>
        <w:t>美国基本面模块标签</w:t>
      </w:r>
      <w:r>
        <w:rPr>
          <w:b/>
        </w:rPr>
        <w:t>强制判为"下行"</w:t>
      </w:r>
      <w:r>
        <w:t>，不受其他指标影响；</w:t>
      </w:r>
    </w:p>
    <w:p w14:paraId="7DC0EB58">
      <w:pPr>
        <w:pStyle w:val="4"/>
        <w:numPr>
          <w:ilvl w:val="0"/>
          <w:numId w:val="43"/>
        </w:numPr>
      </w:pPr>
      <w:r>
        <w:t>美股信号</w:t>
      </w:r>
      <w:r>
        <w:rPr>
          <w:b/>
        </w:rPr>
        <w:t>下调 1 档</w:t>
      </w:r>
      <w:r>
        <w:t>（看涨→观望，观望→看空）；</w:t>
      </w:r>
    </w:p>
    <w:p w14:paraId="40102FEA">
      <w:pPr>
        <w:pStyle w:val="4"/>
        <w:numPr>
          <w:ilvl w:val="0"/>
          <w:numId w:val="43"/>
        </w:numPr>
      </w:pPr>
      <w:r>
        <w:t>A 股信号不受直接调整，但需在尾部风险提示中标注"美国衰退风险传导"；</w:t>
      </w:r>
    </w:p>
    <w:p w14:paraId="516F06C3">
      <w:pPr>
        <w:pStyle w:val="4"/>
        <w:numPr>
          <w:ilvl w:val="0"/>
          <w:numId w:val="43"/>
        </w:numPr>
      </w:pPr>
      <w:r>
        <w:t>触发后，进入</w:t>
      </w:r>
      <w:r>
        <w:rPr>
          <w:b/>
        </w:rPr>
        <w:t>高频跟踪模式</w:t>
      </w:r>
      <w:r>
        <w:t>：每周跟踪初请失业金人数、续请失业金人数，直至 Sahm Rule 读数回落至 0.5 以下。</w:t>
      </w:r>
    </w:p>
    <w:p w14:paraId="763D363D">
      <w:pPr>
        <w:pBdr>
          <w:bottom w:val="single" w:color="auto" w:sz="8" w:space="0"/>
        </w:pBdr>
      </w:pPr>
    </w:p>
    <w:p w14:paraId="269D71AA">
      <w:pPr>
        <w:pStyle w:val="7"/>
      </w:pPr>
      <w:r>
        <w:t>4.4.7 政策预期打分卡</w:t>
      </w:r>
    </w:p>
    <w:p w14:paraId="3785432F">
      <w:pPr>
        <w:pStyle w:val="4"/>
      </w:pPr>
      <w:r>
        <w:rPr>
          <w:b/>
        </w:rPr>
        <w:t>政策预期打分卡（0-10 分）：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E01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1A8724">
            <w:pPr>
              <w:jc w:val="left"/>
            </w:pPr>
            <w:r>
              <w:t>打分项</w:t>
            </w:r>
          </w:p>
        </w:tc>
        <w:tc>
          <w:tcPr>
            <w:tcW w:w="2768" w:type="dxa"/>
            <w:vAlign w:val="center"/>
          </w:tcPr>
          <w:p w14:paraId="23451976">
            <w:pPr>
              <w:jc w:val="left"/>
            </w:pPr>
            <w:r>
              <w:t>评分标准（每项 0-2 分）</w:t>
            </w:r>
          </w:p>
        </w:tc>
        <w:tc>
          <w:tcPr>
            <w:tcW w:w="2768" w:type="dxa"/>
            <w:vAlign w:val="center"/>
          </w:tcPr>
          <w:p w14:paraId="1D04224C">
            <w:pPr>
              <w:jc w:val="left"/>
            </w:pPr>
            <w:r>
              <w:t>数据来源</w:t>
            </w:r>
          </w:p>
        </w:tc>
      </w:tr>
      <w:tr w14:paraId="1508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294D681">
            <w:pPr>
              <w:jc w:val="left"/>
            </w:pPr>
            <w:r>
              <w:rPr>
                <w:b/>
              </w:rPr>
              <w:t>官方媒体措辞变化</w:t>
            </w:r>
          </w:p>
        </w:tc>
        <w:tc>
          <w:tcPr>
            <w:tcW w:w="2768" w:type="dxa"/>
            <w:vAlign w:val="center"/>
          </w:tcPr>
          <w:p w14:paraId="2581C805">
            <w:pPr>
              <w:jc w:val="left"/>
            </w:pPr>
            <w:r>
              <w:t>0 分：措辞不变</w:t>
            </w:r>
            <w:r>
              <w:br w:type="textWrapping"/>
            </w:r>
            <w:r>
              <w:t>1 分：出现"积极""有力""加大"等边际强化措辞</w:t>
            </w:r>
            <w:r>
              <w:br w:type="textWrapping"/>
            </w:r>
            <w:r>
              <w:t>2 分：出现"超常规""历史性""全面"等强转向措辞</w:t>
            </w:r>
          </w:p>
        </w:tc>
        <w:tc>
          <w:tcPr>
            <w:tcW w:w="2768" w:type="dxa"/>
            <w:vAlign w:val="center"/>
          </w:tcPr>
          <w:p w14:paraId="710A79C4">
            <w:pPr>
              <w:jc w:val="left"/>
            </w:pPr>
            <w:r>
              <w:t>新华社、人民日报头版/社论，AI NLP 关键词抓取</w:t>
            </w:r>
          </w:p>
        </w:tc>
      </w:tr>
      <w:tr w14:paraId="3A54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D764C8A">
            <w:pPr>
              <w:jc w:val="left"/>
            </w:pPr>
            <w:r>
              <w:rPr>
                <w:b/>
              </w:rPr>
              <w:t>国常会频次与议题</w:t>
            </w:r>
          </w:p>
        </w:tc>
        <w:tc>
          <w:tcPr>
            <w:tcW w:w="2768" w:type="dxa"/>
            <w:vAlign w:val="center"/>
          </w:tcPr>
          <w:p w14:paraId="1D27A3E3">
            <w:pPr>
              <w:jc w:val="left"/>
            </w:pPr>
            <w:r>
              <w:t>0 分：常规频次（每周 1 次），无经济议题</w:t>
            </w:r>
            <w:r>
              <w:br w:type="textWrapping"/>
            </w:r>
            <w:r>
              <w:t>1 分：频次增加至每周 2 次以上，或经济议题占比 &gt; 50%</w:t>
            </w:r>
            <w:r>
              <w:br w:type="textWrapping"/>
            </w:r>
            <w:r>
              <w:t>2 分：连续 2 次以上聚焦经济，且措辞边际强化</w:t>
            </w:r>
          </w:p>
        </w:tc>
        <w:tc>
          <w:tcPr>
            <w:tcW w:w="2768" w:type="dxa"/>
            <w:vAlign w:val="center"/>
          </w:tcPr>
          <w:p w14:paraId="207651BE">
            <w:pPr>
              <w:jc w:val="left"/>
            </w:pPr>
            <w:r>
              <w:t>中国政府网、国常会公告</w:t>
            </w:r>
          </w:p>
        </w:tc>
      </w:tr>
      <w:tr w14:paraId="284A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2B8560A">
            <w:pPr>
              <w:jc w:val="left"/>
            </w:pPr>
            <w:r>
              <w:rPr>
                <w:b/>
              </w:rPr>
              <w:t>央行货政报告措辞</w:t>
            </w:r>
          </w:p>
        </w:tc>
        <w:tc>
          <w:tcPr>
            <w:tcW w:w="2768" w:type="dxa"/>
            <w:vAlign w:val="center"/>
          </w:tcPr>
          <w:p w14:paraId="58645BFE">
            <w:pPr>
              <w:jc w:val="left"/>
            </w:pPr>
            <w:r>
              <w:t>0 分：维持"稳健""灵活适度"等中性措辞</w:t>
            </w:r>
            <w:r>
              <w:br w:type="textWrapping"/>
            </w:r>
            <w:r>
              <w:t>1 分：出现"加大力度""更加有力"等边际宽松措辞</w:t>
            </w:r>
            <w:r>
              <w:br w:type="textWrapping"/>
            </w:r>
            <w:r>
              <w:t>2 分：出现"充分发力""全面支持"等强宽松措辞</w:t>
            </w:r>
          </w:p>
        </w:tc>
        <w:tc>
          <w:tcPr>
            <w:tcW w:w="2768" w:type="dxa"/>
            <w:vAlign w:val="center"/>
          </w:tcPr>
          <w:p w14:paraId="23497004">
            <w:pPr>
              <w:jc w:val="left"/>
            </w:pPr>
            <w:r>
              <w:t>央行季度货币政策执行报告</w:t>
            </w:r>
          </w:p>
        </w:tc>
      </w:tr>
      <w:tr w14:paraId="146A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593D13">
            <w:pPr>
              <w:jc w:val="left"/>
            </w:pPr>
            <w:r>
              <w:rPr>
                <w:b/>
              </w:rPr>
              <w:t>高层会议信号</w:t>
            </w:r>
          </w:p>
        </w:tc>
        <w:tc>
          <w:tcPr>
            <w:tcW w:w="2768" w:type="dxa"/>
            <w:vAlign w:val="center"/>
          </w:tcPr>
          <w:p w14:paraId="172A0609">
            <w:pPr>
              <w:jc w:val="left"/>
            </w:pPr>
            <w:r>
              <w:t>0 分：无相关信号</w:t>
            </w:r>
            <w:r>
              <w:br w:type="textWrapping"/>
            </w:r>
            <w:r>
              <w:t>1 分：政治局会议提及"加大宏观调控力度"</w:t>
            </w:r>
            <w:r>
              <w:br w:type="textWrapping"/>
            </w:r>
            <w:r>
              <w:t>2 分：政治局会议或中央经济工作会议明确提出"超常规"政策方向</w:t>
            </w:r>
          </w:p>
        </w:tc>
        <w:tc>
          <w:tcPr>
            <w:tcW w:w="2768" w:type="dxa"/>
            <w:vAlign w:val="center"/>
          </w:tcPr>
          <w:p w14:paraId="6CF5BC1A">
            <w:pPr>
              <w:jc w:val="left"/>
            </w:pPr>
            <w:r>
              <w:t>新华社通稿</w:t>
            </w:r>
          </w:p>
        </w:tc>
      </w:tr>
      <w:tr w14:paraId="3418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47B5DAD">
            <w:pPr>
              <w:jc w:val="left"/>
            </w:pPr>
            <w:r>
              <w:rPr>
                <w:b/>
              </w:rPr>
              <w:t>政策落地节奏</w:t>
            </w:r>
          </w:p>
        </w:tc>
        <w:tc>
          <w:tcPr>
            <w:tcW w:w="2768" w:type="dxa"/>
            <w:vAlign w:val="center"/>
          </w:tcPr>
          <w:p w14:paraId="7C7F7B98">
            <w:pPr>
              <w:jc w:val="left"/>
            </w:pPr>
            <w:r>
              <w:t>0 分：无新政策落地</w:t>
            </w:r>
            <w:r>
              <w:br w:type="textWrapping"/>
            </w:r>
            <w:r>
              <w:t>1 分：单次政策落地（如降息 10BP、降准 25BP）</w:t>
            </w:r>
            <w:r>
              <w:br w:type="textWrapping"/>
            </w:r>
            <w:r>
              <w:t>2 分：连续 2 次以上政策落地，或单次力度超预期</w:t>
            </w:r>
          </w:p>
        </w:tc>
        <w:tc>
          <w:tcPr>
            <w:tcW w:w="2768" w:type="dxa"/>
            <w:vAlign w:val="center"/>
          </w:tcPr>
          <w:p w14:paraId="325B6A6D">
            <w:pPr>
              <w:jc w:val="left"/>
            </w:pPr>
            <w:r>
              <w:t>央行、财政部公告</w:t>
            </w:r>
          </w:p>
        </w:tc>
      </w:tr>
    </w:tbl>
    <w:p w14:paraId="02B8CE49">
      <w:pPr>
        <w:pStyle w:val="4"/>
      </w:pPr>
      <w:r>
        <w:rPr>
          <w:b/>
        </w:rPr>
        <w:t>打分卡触发规则：</w:t>
      </w:r>
    </w:p>
    <w:p w14:paraId="418C6A46">
      <w:pPr>
        <w:pStyle w:val="4"/>
        <w:numPr>
          <w:ilvl w:val="0"/>
          <w:numId w:val="44"/>
        </w:numPr>
      </w:pPr>
      <w:r>
        <w:rPr>
          <w:b/>
        </w:rPr>
        <w:t>总分 ≥ 7 分</w:t>
      </w:r>
      <w:r>
        <w:t>：判定为"</w:t>
      </w:r>
      <w:r>
        <w:rPr>
          <w:b/>
        </w:rPr>
        <w:t>政策强转向预期</w:t>
      </w:r>
      <w:r>
        <w:t>"，允许在 4.2 拐点确认标准尚未满足的情况下，提前 1 个月输出前瞻信号，信号方向与政策转向方向一致；</w:t>
      </w:r>
    </w:p>
    <w:p w14:paraId="1E61A5AA">
      <w:pPr>
        <w:pStyle w:val="4"/>
        <w:numPr>
          <w:ilvl w:val="0"/>
          <w:numId w:val="44"/>
        </w:numPr>
      </w:pPr>
      <w:r>
        <w:rPr>
          <w:b/>
        </w:rPr>
        <w:t>总分 5-6 分</w:t>
      </w:r>
      <w:r>
        <w:t>：判定为"政策边际宽松预期"，信号有效性 +1 分，但不触发前瞻信号；</w:t>
      </w:r>
    </w:p>
    <w:p w14:paraId="2D28274F">
      <w:pPr>
        <w:pStyle w:val="4"/>
        <w:numPr>
          <w:ilvl w:val="0"/>
          <w:numId w:val="44"/>
        </w:numPr>
      </w:pPr>
      <w:r>
        <w:rPr>
          <w:b/>
        </w:rPr>
        <w:t>总分 ≤ 4 分</w:t>
      </w:r>
      <w:r>
        <w:t>：无政策转向预期，不调整信号。</w:t>
      </w:r>
    </w:p>
    <w:p w14:paraId="012E5A5F">
      <w:pPr>
        <w:pStyle w:val="4"/>
      </w:pPr>
      <w:r>
        <w:rPr>
          <w:b/>
        </w:rPr>
        <w:t>打分卡更新频率：</w:t>
      </w:r>
      <w:r>
        <w:t xml:space="preserve"> 月度更新，高层会议/国常会期间即时更新。</w:t>
      </w:r>
      <w:r>
        <w:br w:type="textWrapping"/>
      </w:r>
    </w:p>
    <w:p w14:paraId="5927C436">
      <w:pPr>
        <w:pBdr>
          <w:bottom w:val="single" w:color="auto" w:sz="8" w:space="0"/>
        </w:pBdr>
      </w:pPr>
    </w:p>
    <w:p w14:paraId="735473F3">
      <w:pPr>
        <w:pStyle w:val="7"/>
      </w:pPr>
      <w:r>
        <w:t>4.4.8 范式稳定性监测</w:t>
      </w:r>
    </w:p>
    <w:p w14:paraId="24FE5C1D">
      <w:pPr>
        <w:pStyle w:val="4"/>
      </w:pPr>
      <w:r>
        <w:t>4.4.1-4.4.7 处理的是"已知类型的异常事件"。本模块处理的是更深层的问题：</w:t>
      </w:r>
      <w:r>
        <w:rPr>
          <w:b/>
        </w:rPr>
        <w:t>框架公理体系的前提假设是否仍然成立？</w:t>
      </w:r>
      <w:r>
        <w:t xml:space="preserve"> 详细指标与判定规则见 Layer 4.5.3（范式稳定性监测）。</w:t>
      </w:r>
    </w:p>
    <w:p w14:paraId="1D47E325">
      <w:pPr>
        <w:pStyle w:val="4"/>
      </w:pPr>
      <w:r>
        <w:rPr>
          <w:b/>
        </w:rPr>
        <w:t>本节仅定义触发后的应急处理流程：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442F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03B408FB">
            <w:pPr>
              <w:jc w:val="left"/>
            </w:pPr>
            <w:r>
              <w:t>范式稳定性状态</w:t>
            </w:r>
          </w:p>
        </w:tc>
        <w:tc>
          <w:tcPr>
            <w:tcW w:w="4153" w:type="dxa"/>
            <w:vAlign w:val="center"/>
          </w:tcPr>
          <w:p w14:paraId="42B34A73">
            <w:pPr>
              <w:jc w:val="left"/>
            </w:pPr>
            <w:r>
              <w:t>应急处理</w:t>
            </w:r>
          </w:p>
        </w:tc>
      </w:tr>
      <w:tr w14:paraId="48E6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52E4EF8A">
            <w:pPr>
              <w:jc w:val="left"/>
            </w:pPr>
            <w:r>
              <w:t>范式稳定</w:t>
            </w:r>
          </w:p>
        </w:tc>
        <w:tc>
          <w:tcPr>
            <w:tcW w:w="4153" w:type="dxa"/>
            <w:vAlign w:val="center"/>
          </w:tcPr>
          <w:p w14:paraId="5CE32ED8">
            <w:pPr>
              <w:jc w:val="left"/>
            </w:pPr>
            <w:r>
              <w:t>无额外处理</w:t>
            </w:r>
          </w:p>
        </w:tc>
      </w:tr>
      <w:tr w14:paraId="4D25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19875EC9">
            <w:pPr>
              <w:jc w:val="left"/>
            </w:pPr>
            <w:r>
              <w:t>范式动摇</w:t>
            </w:r>
          </w:p>
        </w:tc>
        <w:tc>
          <w:tcPr>
            <w:tcW w:w="4153" w:type="dxa"/>
            <w:vAlign w:val="center"/>
          </w:tcPr>
          <w:p w14:paraId="328E2FDC">
            <w:pPr>
              <w:jc w:val="left"/>
            </w:pPr>
            <w:r>
              <w:t>1. 报告开头标注"范式不确定"警告</w:t>
            </w:r>
            <w:r>
              <w:br w:type="textWrapping"/>
            </w:r>
            <w:r>
              <w:t>2. 所有信号强度自动 × 0.7</w:t>
            </w:r>
            <w:r>
              <w:br w:type="textWrapping"/>
            </w:r>
            <w:r>
              <w:t>3. Alpha 偏离幅度减半</w:t>
            </w:r>
            <w:r>
              <w:br w:type="textWrapping"/>
            </w:r>
            <w:r>
              <w:t>4. 大周期融合小组启动专题评估（2 周内完成）</w:t>
            </w:r>
          </w:p>
        </w:tc>
      </w:tr>
      <w:tr w14:paraId="61C1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7A87FCD1">
            <w:pPr>
              <w:jc w:val="left"/>
            </w:pPr>
            <w:r>
              <w:t>范式转移</w:t>
            </w:r>
          </w:p>
        </w:tc>
        <w:tc>
          <w:tcPr>
            <w:tcW w:w="4153" w:type="dxa"/>
            <w:vAlign w:val="center"/>
          </w:tcPr>
          <w:p w14:paraId="1366514B">
            <w:pPr>
              <w:jc w:val="left"/>
            </w:pPr>
            <w:r>
              <w:t>1. 报告开头标注"范式转移预警——框架信号可靠性下降"</w:t>
            </w:r>
            <w:r>
              <w:br w:type="textWrapping"/>
            </w:r>
            <w:r>
              <w:t>2. 停止输出新 Alpha 偏离信号，仅维持 Beta 基准</w:t>
            </w:r>
            <w:r>
              <w:br w:type="textWrapping"/>
            </w:r>
            <w:r>
              <w:t>3. 强制触发人类裁决接口（4.5.4）</w:t>
            </w:r>
            <w:r>
              <w:br w:type="textWrapping"/>
            </w:r>
            <w:r>
              <w:t>4. 框架进入"观察模式"，等待人类裁决或范式指标恢复</w:t>
            </w:r>
          </w:p>
        </w:tc>
      </w:tr>
    </w:tbl>
    <w:p w14:paraId="05841BC4">
      <w:pPr>
        <w:pStyle w:val="4"/>
      </w:pPr>
      <w:r>
        <w:rPr>
          <w:b/>
        </w:rPr>
        <w:t>与 4.4.1 黑天鹅事件的关系：</w:t>
      </w:r>
      <w:r>
        <w:t xml:space="preserve"> 黑天鹅事件是范式内部的极端波动（可用 4.2 拐点规则+4.4 应急规则处理），范式转移是框架适用性本身的问题（需 Layer 4.5 元认知层处理）。二者可能同时发生——黑天鹅事件往往是范式转移的触发器。</w:t>
      </w:r>
    </w:p>
    <w:p w14:paraId="43B59FF8">
      <w:pPr>
        <w:pBdr>
          <w:bottom w:val="single" w:color="auto" w:sz="8" w:space="0"/>
        </w:pBdr>
      </w:pPr>
    </w:p>
    <w:p w14:paraId="5A0ED9CF">
      <w:pPr>
        <w:pBdr>
          <w:bottom w:val="single" w:color="auto" w:sz="8" w:space="0"/>
        </w:pBdr>
      </w:pPr>
    </w:p>
    <w:p w14:paraId="5912CF1C">
      <w:pPr>
        <w:pBdr>
          <w:bottom w:val="single" w:color="auto" w:sz="8" w:space="0"/>
        </w:pBdr>
      </w:pPr>
    </w:p>
    <w:p w14:paraId="1CA23A8A">
      <w:pPr>
        <w:pBdr>
          <w:bottom w:val="single" w:color="auto" w:sz="8" w:space="0"/>
        </w:pBdr>
      </w:pPr>
    </w:p>
    <w:p w14:paraId="2697380E">
      <w:pPr>
        <w:pStyle w:val="10"/>
      </w:pPr>
      <w:r>
        <w:t>五、全流程实战案例拆解</w:t>
      </w:r>
    </w:p>
    <w:p w14:paraId="10BB3922">
      <w:pPr>
        <w:pStyle w:val="12"/>
      </w:pPr>
      <w:r>
        <w:rPr>
          <w:b/>
        </w:rPr>
        <w:t>V3.0 说明：</w:t>
      </w:r>
      <w:r>
        <w:t xml:space="preserve"> 以下案例基于 V2.0 版本数据编写，部分指标（如 CRB、WTI、地产投资等）已从 V3.0 核心指标体系中移除，但案例中的历史数据保持原貌以保留验证可追溯性。V3.0 新增指标（ISM 服务业 PMI、高技术制造业 PMI、社零/服务业增加值）将在后续案例更新中纳入。</w:t>
      </w:r>
    </w:p>
    <w:p w14:paraId="4A517F0F">
      <w:pPr>
        <w:pBdr>
          <w:bottom w:val="single" w:color="auto" w:sz="8" w:space="0"/>
        </w:pBdr>
      </w:pPr>
    </w:p>
    <w:p w14:paraId="04001E59">
      <w:pPr>
        <w:pStyle w:val="6"/>
      </w:pPr>
      <w:r>
        <w:t>案例1：2026年一季度（截至3月底）</w:t>
      </w:r>
    </w:p>
    <w:p w14:paraId="75DE9887">
      <w:pPr>
        <w:pStyle w:val="6"/>
      </w:pPr>
      <w:r>
        <w:t>Layer 0：双经济体追踪与中美交互通道</w:t>
      </w:r>
    </w:p>
    <w:p w14:paraId="0447E052">
      <w:pPr>
        <w:pStyle w:val="4"/>
      </w:pPr>
      <w:r>
        <w:rPr>
          <w:b/>
        </w:rPr>
        <w:t>中美5维度面板（示意）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E16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D7F5D99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7077BF02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48CD22A1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0657CEE9">
            <w:pPr>
              <w:jc w:val="left"/>
            </w:pPr>
            <w:r>
              <w:t>跨国差值</w:t>
            </w:r>
          </w:p>
        </w:tc>
        <w:tc>
          <w:tcPr>
            <w:tcW w:w="1661" w:type="dxa"/>
            <w:vAlign w:val="center"/>
          </w:tcPr>
          <w:p w14:paraId="4CD1F7ED">
            <w:pPr>
              <w:jc w:val="left"/>
            </w:pPr>
            <w:r>
              <w:t>方向</w:t>
            </w:r>
          </w:p>
        </w:tc>
      </w:tr>
      <w:tr w14:paraId="59AE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DBF0508">
            <w:pPr>
              <w:jc w:val="left"/>
            </w:pPr>
            <w:r>
              <w:t>增长动能</w:t>
            </w:r>
          </w:p>
        </w:tc>
        <w:tc>
          <w:tcPr>
            <w:tcW w:w="1661" w:type="dxa"/>
            <w:vAlign w:val="center"/>
          </w:tcPr>
          <w:p w14:paraId="0AE91672">
            <w:pPr>
              <w:jc w:val="left"/>
            </w:pPr>
            <w:r>
              <w:t>PMI 49.8（&lt;50）</w:t>
            </w:r>
          </w:p>
        </w:tc>
        <w:tc>
          <w:tcPr>
            <w:tcW w:w="1661" w:type="dxa"/>
            <w:vAlign w:val="center"/>
          </w:tcPr>
          <w:p w14:paraId="0F345A82">
            <w:pPr>
              <w:jc w:val="left"/>
            </w:pPr>
            <w:r>
              <w:t>PMI 50.3（&gt;50）</w:t>
            </w:r>
          </w:p>
        </w:tc>
        <w:tc>
          <w:tcPr>
            <w:tcW w:w="1661" w:type="dxa"/>
            <w:vAlign w:val="center"/>
          </w:tcPr>
          <w:p w14:paraId="5954B8B9">
            <w:pPr>
              <w:jc w:val="left"/>
            </w:pPr>
            <w:r>
              <w:t>+0.5</w:t>
            </w:r>
          </w:p>
        </w:tc>
        <w:tc>
          <w:tcPr>
            <w:tcW w:w="1661" w:type="dxa"/>
            <w:vAlign w:val="center"/>
          </w:tcPr>
          <w:p w14:paraId="3A19B0B6">
            <w:pPr>
              <w:jc w:val="left"/>
            </w:pPr>
            <w:r>
              <w:t>中&gt;美</w:t>
            </w:r>
          </w:p>
        </w:tc>
      </w:tr>
      <w:tr w14:paraId="42D3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13455A9">
            <w:pPr>
              <w:jc w:val="left"/>
            </w:pPr>
            <w:r>
              <w:t>就业趋势</w:t>
            </w:r>
          </w:p>
        </w:tc>
        <w:tc>
          <w:tcPr>
            <w:tcW w:w="1661" w:type="dxa"/>
            <w:vAlign w:val="center"/>
          </w:tcPr>
          <w:p w14:paraId="03C7DB8B">
            <w:pPr>
              <w:jc w:val="left"/>
            </w:pPr>
            <w:r>
              <w:t>非农1.8%↓ 失业率4.2%↑</w:t>
            </w:r>
          </w:p>
        </w:tc>
        <w:tc>
          <w:tcPr>
            <w:tcW w:w="1661" w:type="dxa"/>
            <w:vAlign w:val="center"/>
          </w:tcPr>
          <w:p w14:paraId="1676BF6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93DA92E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437CB0BD">
            <w:pPr>
              <w:jc w:val="left"/>
            </w:pPr>
            <w:r>
              <w:t>美边际走弱</w:t>
            </w:r>
          </w:p>
        </w:tc>
      </w:tr>
      <w:tr w14:paraId="5673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637FF6E">
            <w:pPr>
              <w:jc w:val="left"/>
            </w:pPr>
            <w:r>
              <w:t>通胀格局</w:t>
            </w:r>
          </w:p>
        </w:tc>
        <w:tc>
          <w:tcPr>
            <w:tcW w:w="1661" w:type="dxa"/>
            <w:vAlign w:val="center"/>
          </w:tcPr>
          <w:p w14:paraId="3074F829">
            <w:pPr>
              <w:jc w:val="left"/>
            </w:pPr>
            <w:r>
              <w:t>核心CPI中枢2.6%</w:t>
            </w:r>
          </w:p>
        </w:tc>
        <w:tc>
          <w:tcPr>
            <w:tcW w:w="1661" w:type="dxa"/>
            <w:vAlign w:val="center"/>
          </w:tcPr>
          <w:p w14:paraId="3532FE69">
            <w:pPr>
              <w:jc w:val="left"/>
            </w:pPr>
            <w:r>
              <w:t>核心CPI 0.9%</w:t>
            </w:r>
          </w:p>
        </w:tc>
        <w:tc>
          <w:tcPr>
            <w:tcW w:w="1661" w:type="dxa"/>
            <w:vAlign w:val="center"/>
          </w:tcPr>
          <w:p w14:paraId="28FC539D">
            <w:pPr>
              <w:jc w:val="left"/>
            </w:pPr>
            <w:r>
              <w:t>-1.7pp</w:t>
            </w:r>
          </w:p>
        </w:tc>
        <w:tc>
          <w:tcPr>
            <w:tcW w:w="1661" w:type="dxa"/>
            <w:vAlign w:val="center"/>
          </w:tcPr>
          <w:p w14:paraId="3F394A49">
            <w:pPr>
              <w:jc w:val="left"/>
            </w:pPr>
            <w:r>
              <w:t>通胀差收窄</w:t>
            </w:r>
          </w:p>
        </w:tc>
      </w:tr>
      <w:tr w14:paraId="6322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86F4230">
            <w:pPr>
              <w:jc w:val="left"/>
            </w:pPr>
            <w:r>
              <w:t>货币政策</w:t>
            </w:r>
          </w:p>
        </w:tc>
        <w:tc>
          <w:tcPr>
            <w:tcW w:w="1661" w:type="dxa"/>
            <w:vAlign w:val="center"/>
          </w:tcPr>
          <w:p w14:paraId="1C4FB534">
            <w:pPr>
              <w:jc w:val="left"/>
            </w:pPr>
            <w:r>
              <w:t>中性区间3.50-3.75%</w:t>
            </w:r>
          </w:p>
        </w:tc>
        <w:tc>
          <w:tcPr>
            <w:tcW w:w="1661" w:type="dxa"/>
            <w:vAlign w:val="center"/>
          </w:tcPr>
          <w:p w14:paraId="1D4CCB04">
            <w:pPr>
              <w:jc w:val="left"/>
            </w:pPr>
            <w:r>
              <w:t>MLF/LPR持平</w:t>
            </w:r>
          </w:p>
        </w:tc>
        <w:tc>
          <w:tcPr>
            <w:tcW w:w="1661" w:type="dxa"/>
            <w:vAlign w:val="center"/>
          </w:tcPr>
          <w:p w14:paraId="1A38986B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009D4DD6">
            <w:pPr>
              <w:jc w:val="left"/>
            </w:pPr>
            <w:r>
              <w:t>双方观望</w:t>
            </w:r>
          </w:p>
        </w:tc>
      </w:tr>
      <w:tr w14:paraId="71CE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7E36F51">
            <w:pPr>
              <w:jc w:val="left"/>
            </w:pPr>
            <w:r>
              <w:t>金融条件</w:t>
            </w:r>
          </w:p>
        </w:tc>
        <w:tc>
          <w:tcPr>
            <w:tcW w:w="1661" w:type="dxa"/>
            <w:vAlign w:val="center"/>
          </w:tcPr>
          <w:p w14:paraId="336615FA">
            <w:pPr>
              <w:jc w:val="left"/>
            </w:pPr>
            <w:r>
              <w:t>FCI偏松</w:t>
            </w:r>
          </w:p>
        </w:tc>
        <w:tc>
          <w:tcPr>
            <w:tcW w:w="1661" w:type="dxa"/>
            <w:vAlign w:val="center"/>
          </w:tcPr>
          <w:p w14:paraId="26E0BAE3">
            <w:pPr>
              <w:jc w:val="left"/>
            </w:pPr>
            <w:r>
              <w:t>DR007&lt;政策利率</w:t>
            </w:r>
          </w:p>
        </w:tc>
        <w:tc>
          <w:tcPr>
            <w:tcW w:w="1661" w:type="dxa"/>
            <w:vAlign w:val="center"/>
          </w:tcPr>
          <w:p w14:paraId="61F39E6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7110480">
            <w:pPr>
              <w:jc w:val="left"/>
            </w:pPr>
            <w:r>
              <w:t>双松</w:t>
            </w:r>
          </w:p>
        </w:tc>
      </w:tr>
    </w:tbl>
    <w:p w14:paraId="36F3B4D8">
      <w:pPr>
        <w:pStyle w:val="4"/>
      </w:pPr>
      <w:r>
        <w:rPr>
          <w:b/>
        </w:rPr>
        <w:t>6条通道触发状态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FC8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D369271">
            <w:pPr>
              <w:jc w:val="left"/>
            </w:pPr>
            <w:r>
              <w:t>通道</w:t>
            </w:r>
          </w:p>
        </w:tc>
        <w:tc>
          <w:tcPr>
            <w:tcW w:w="2768" w:type="dxa"/>
            <w:vAlign w:val="center"/>
          </w:tcPr>
          <w:p w14:paraId="197B6FC6">
            <w:pPr>
              <w:jc w:val="left"/>
            </w:pPr>
            <w:r>
              <w:t>触发状态</w:t>
            </w:r>
          </w:p>
        </w:tc>
        <w:tc>
          <w:tcPr>
            <w:tcW w:w="2768" w:type="dxa"/>
            <w:vAlign w:val="center"/>
          </w:tcPr>
          <w:p w14:paraId="534783E7">
            <w:pPr>
              <w:jc w:val="left"/>
            </w:pPr>
            <w:r>
              <w:t>信号</w:t>
            </w:r>
          </w:p>
        </w:tc>
      </w:tr>
      <w:tr w14:paraId="48E8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BD068CF">
            <w:pPr>
              <w:jc w:val="left"/>
            </w:pPr>
            <w:r>
              <w:t>①贸易通道</w:t>
            </w:r>
          </w:p>
        </w:tc>
        <w:tc>
          <w:tcPr>
            <w:tcW w:w="2768" w:type="dxa"/>
            <w:vAlign w:val="center"/>
          </w:tcPr>
          <w:p w14:paraId="1B493D7C">
            <w:pPr>
              <w:jc w:val="left"/>
            </w:pPr>
            <w:r>
              <w:t>活跃</w:t>
            </w:r>
          </w:p>
        </w:tc>
        <w:tc>
          <w:tcPr>
            <w:tcW w:w="2768" w:type="dxa"/>
            <w:vAlign w:val="center"/>
          </w:tcPr>
          <w:p w14:paraId="7F0B5FFC">
            <w:pPr>
              <w:jc w:val="left"/>
            </w:pPr>
            <w:r>
              <w:t>COMEX 黄金 $1950震荡，黄金需求中性</w:t>
            </w:r>
          </w:p>
        </w:tc>
      </w:tr>
      <w:tr w14:paraId="00D0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738677E">
            <w:pPr>
              <w:jc w:val="left"/>
            </w:pPr>
            <w:r>
              <w:t>②资本流动通道</w:t>
            </w:r>
          </w:p>
        </w:tc>
        <w:tc>
          <w:tcPr>
            <w:tcW w:w="2768" w:type="dxa"/>
            <w:vAlign w:val="center"/>
          </w:tcPr>
          <w:p w14:paraId="15434096">
            <w:pPr>
              <w:jc w:val="left"/>
            </w:pPr>
            <w:r>
              <w:t>流入中国</w:t>
            </w:r>
          </w:p>
        </w:tc>
        <w:tc>
          <w:tcPr>
            <w:tcW w:w="2768" w:type="dxa"/>
            <w:vAlign w:val="center"/>
          </w:tcPr>
          <w:p w14:paraId="095EF00E">
            <w:pPr>
              <w:jc w:val="left"/>
            </w:pPr>
            <w:r>
              <w:t>北向+1260亿，融资融券上行</w:t>
            </w:r>
          </w:p>
        </w:tc>
      </w:tr>
      <w:tr w14:paraId="3370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82F0C12">
            <w:pPr>
              <w:jc w:val="left"/>
            </w:pPr>
            <w:r>
              <w:t>③汇率通道</w:t>
            </w:r>
          </w:p>
        </w:tc>
        <w:tc>
          <w:tcPr>
            <w:tcW w:w="2768" w:type="dxa"/>
            <w:vAlign w:val="center"/>
          </w:tcPr>
          <w:p w14:paraId="1AFAA50D">
            <w:pPr>
              <w:jc w:val="left"/>
            </w:pPr>
            <w:r>
              <w:t>中性偏稳</w:t>
            </w:r>
          </w:p>
        </w:tc>
        <w:tc>
          <w:tcPr>
            <w:tcW w:w="2768" w:type="dxa"/>
            <w:vAlign w:val="center"/>
          </w:tcPr>
          <w:p w14:paraId="7E49BF2E">
            <w:pPr>
              <w:jc w:val="left"/>
            </w:pPr>
            <w:r>
              <w:t>USD/CNH 7.22，波动0.8%</w:t>
            </w:r>
          </w:p>
        </w:tc>
      </w:tr>
      <w:tr w14:paraId="2C45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8B782A7">
            <w:pPr>
              <w:jc w:val="left"/>
            </w:pPr>
            <w:r>
              <w:t>④政策外溢通道</w:t>
            </w:r>
          </w:p>
        </w:tc>
        <w:tc>
          <w:tcPr>
            <w:tcW w:w="2768" w:type="dxa"/>
            <w:vAlign w:val="center"/>
          </w:tcPr>
          <w:p w14:paraId="3040D3F7">
            <w:pPr>
              <w:jc w:val="left"/>
            </w:pPr>
            <w:r>
              <w:t>中性</w:t>
            </w:r>
          </w:p>
        </w:tc>
        <w:tc>
          <w:tcPr>
            <w:tcW w:w="2768" w:type="dxa"/>
            <w:vAlign w:val="center"/>
          </w:tcPr>
          <w:p w14:paraId="3A9E9250">
            <w:pPr>
              <w:jc w:val="left"/>
            </w:pPr>
            <w:r>
              <w:t>美联储中性，无强外溢</w:t>
            </w:r>
          </w:p>
        </w:tc>
      </w:tr>
      <w:tr w14:paraId="21FA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0228400">
            <w:pPr>
              <w:jc w:val="left"/>
            </w:pPr>
            <w:r>
              <w:t>⑤情绪传染通道</w:t>
            </w:r>
          </w:p>
        </w:tc>
        <w:tc>
          <w:tcPr>
            <w:tcW w:w="2768" w:type="dxa"/>
            <w:vAlign w:val="center"/>
          </w:tcPr>
          <w:p w14:paraId="03C692FD">
            <w:pPr>
              <w:jc w:val="left"/>
            </w:pPr>
            <w:r>
              <w:t>偏正面</w:t>
            </w:r>
          </w:p>
        </w:tc>
        <w:tc>
          <w:tcPr>
            <w:tcW w:w="2768" w:type="dxa"/>
            <w:vAlign w:val="center"/>
          </w:tcPr>
          <w:p w14:paraId="4583FE57">
            <w:pPr>
              <w:jc w:val="left"/>
            </w:pPr>
            <w:r>
              <w:t>VIX 16.8平稳，花旗意外正</w:t>
            </w:r>
          </w:p>
        </w:tc>
      </w:tr>
      <w:tr w14:paraId="647B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5B13A4">
            <w:pPr>
              <w:jc w:val="left"/>
            </w:pPr>
            <w:r>
              <w:t>⑥产业链通道</w:t>
            </w:r>
          </w:p>
        </w:tc>
        <w:tc>
          <w:tcPr>
            <w:tcW w:w="2768" w:type="dxa"/>
            <w:vAlign w:val="center"/>
          </w:tcPr>
          <w:p w14:paraId="3F77C164">
            <w:pPr>
              <w:jc w:val="left"/>
            </w:pPr>
            <w:r>
              <w:t>边际修复</w:t>
            </w:r>
          </w:p>
        </w:tc>
        <w:tc>
          <w:tcPr>
            <w:tcW w:w="2768" w:type="dxa"/>
            <w:vAlign w:val="center"/>
          </w:tcPr>
          <w:p w14:paraId="5978C12D">
            <w:pPr>
              <w:jc w:val="left"/>
            </w:pPr>
            <w:r>
              <w:t>用电3.2%↑，货运2.8%↑</w:t>
            </w:r>
          </w:p>
        </w:tc>
      </w:tr>
    </w:tbl>
    <w:p w14:paraId="4AF96FB4">
      <w:pPr>
        <w:pStyle w:val="4"/>
      </w:pPr>
      <w:r>
        <w:rPr>
          <w:b/>
        </w:rPr>
        <w:t>交互层次判定</w:t>
      </w:r>
      <w:r>
        <w:t>：弱正相关——中美周期弱同步，中国边际修复但美国放缓，资本流动与情绪通道为中国提供正向支撑，贸易与政策外溢中性。</w:t>
      </w:r>
    </w:p>
    <w:p w14:paraId="23823A00">
      <w:pPr>
        <w:pBdr>
          <w:bottom w:val="single" w:color="auto" w:sz="8" w:space="0"/>
        </w:pBdr>
      </w:pPr>
    </w:p>
    <w:p w14:paraId="62057856">
      <w:pPr>
        <w:pStyle w:val="6"/>
      </w:pPr>
      <w:r>
        <w:t>Layer 1：状态识别——CAI/FCI合成指标</w:t>
      </w:r>
    </w:p>
    <w:p w14:paraId="2DBAE007">
      <w:pPr>
        <w:pStyle w:val="4"/>
      </w:pPr>
      <w:r>
        <w:rPr>
          <w:b/>
        </w:rPr>
        <w:t>CAI（周期活动指数）连续分数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9AC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60F949E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13D997FB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4B4EF75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2CCB8DEE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8FD3506">
            <w:pPr>
              <w:jc w:val="left"/>
            </w:pPr>
            <w:r>
              <w:t>得分</w:t>
            </w:r>
          </w:p>
        </w:tc>
      </w:tr>
      <w:tr w14:paraId="4FDC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5B5B901">
            <w:pPr>
              <w:jc w:val="left"/>
            </w:pPr>
            <w:r>
              <w:t>PMI</w:t>
            </w:r>
          </w:p>
        </w:tc>
        <w:tc>
          <w:tcPr>
            <w:tcW w:w="1661" w:type="dxa"/>
            <w:vAlign w:val="center"/>
          </w:tcPr>
          <w:p w14:paraId="7DDB4889">
            <w:pPr>
              <w:jc w:val="left"/>
            </w:pPr>
            <w:r>
              <w:t>49.8</w:t>
            </w:r>
          </w:p>
        </w:tc>
        <w:tc>
          <w:tcPr>
            <w:tcW w:w="1661" w:type="dxa"/>
            <w:vAlign w:val="center"/>
          </w:tcPr>
          <w:p w14:paraId="2233030B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08CE71F9">
            <w:pPr>
              <w:jc w:val="left"/>
            </w:pPr>
            <w:r>
              <w:t>50.3</w:t>
            </w:r>
          </w:p>
        </w:tc>
        <w:tc>
          <w:tcPr>
            <w:tcW w:w="1661" w:type="dxa"/>
            <w:vAlign w:val="center"/>
          </w:tcPr>
          <w:p w14:paraId="47D7864E">
            <w:pPr>
              <w:jc w:val="left"/>
            </w:pPr>
            <w:r>
              <w:t>6</w:t>
            </w:r>
          </w:p>
        </w:tc>
      </w:tr>
      <w:tr w14:paraId="2CDA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AD658EA">
            <w:pPr>
              <w:jc w:val="left"/>
            </w:pPr>
            <w:r>
              <w:t>社融/信贷趋势</w:t>
            </w:r>
          </w:p>
        </w:tc>
        <w:tc>
          <w:tcPr>
            <w:tcW w:w="1661" w:type="dxa"/>
            <w:vAlign w:val="center"/>
          </w:tcPr>
          <w:p w14:paraId="6180A6C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CE39768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FC9D177">
            <w:pPr>
              <w:jc w:val="left"/>
            </w:pPr>
            <w:r>
              <w:t>9.7%↑ 3月</w:t>
            </w:r>
          </w:p>
        </w:tc>
        <w:tc>
          <w:tcPr>
            <w:tcW w:w="1661" w:type="dxa"/>
            <w:vAlign w:val="center"/>
          </w:tcPr>
          <w:p w14:paraId="5FA1F078">
            <w:pPr>
              <w:jc w:val="left"/>
            </w:pPr>
            <w:r>
              <w:t>7</w:t>
            </w:r>
          </w:p>
        </w:tc>
      </w:tr>
      <w:tr w14:paraId="3116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8028F16">
            <w:pPr>
              <w:jc w:val="left"/>
            </w:pPr>
            <w:r>
              <w:t>就业/收入</w:t>
            </w:r>
          </w:p>
        </w:tc>
        <w:tc>
          <w:tcPr>
            <w:tcW w:w="1661" w:type="dxa"/>
            <w:vAlign w:val="center"/>
          </w:tcPr>
          <w:p w14:paraId="46D81E57">
            <w:pPr>
              <w:jc w:val="left"/>
            </w:pPr>
            <w:r>
              <w:t>非农1.8%↓ 失业4.2%↑</w:t>
            </w:r>
          </w:p>
        </w:tc>
        <w:tc>
          <w:tcPr>
            <w:tcW w:w="1661" w:type="dxa"/>
            <w:vAlign w:val="center"/>
          </w:tcPr>
          <w:p w14:paraId="540EFCBD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00224B0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82F334A">
            <w:pPr>
              <w:jc w:val="left"/>
            </w:pPr>
            <w:r>
              <w:t>—</w:t>
            </w:r>
          </w:p>
        </w:tc>
      </w:tr>
      <w:tr w14:paraId="0D84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EC85B0A">
            <w:pPr>
              <w:jc w:val="left"/>
            </w:pPr>
            <w:r>
              <w:t>消费/投资</w:t>
            </w:r>
          </w:p>
        </w:tc>
        <w:tc>
          <w:tcPr>
            <w:tcW w:w="1661" w:type="dxa"/>
            <w:vAlign w:val="center"/>
          </w:tcPr>
          <w:p w14:paraId="76D0A7BA">
            <w:pPr>
              <w:jc w:val="left"/>
            </w:pPr>
            <w:r>
              <w:t>ISM新订单偏弱</w:t>
            </w:r>
          </w:p>
        </w:tc>
        <w:tc>
          <w:tcPr>
            <w:tcW w:w="1661" w:type="dxa"/>
            <w:vAlign w:val="center"/>
          </w:tcPr>
          <w:p w14:paraId="02E33C3D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22F27309">
            <w:pPr>
              <w:jc w:val="left"/>
            </w:pPr>
            <w:r>
              <w:t>地产投资-5.2%收窄</w:t>
            </w:r>
          </w:p>
        </w:tc>
        <w:tc>
          <w:tcPr>
            <w:tcW w:w="1661" w:type="dxa"/>
            <w:vAlign w:val="center"/>
          </w:tcPr>
          <w:p w14:paraId="4910C5B5">
            <w:pPr>
              <w:jc w:val="left"/>
            </w:pPr>
            <w:r>
              <w:t>5</w:t>
            </w:r>
          </w:p>
        </w:tc>
      </w:tr>
      <w:tr w14:paraId="7FA0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6A813EE">
            <w:pPr>
              <w:jc w:val="left"/>
            </w:pPr>
            <w:r>
              <w:t>高频验证</w:t>
            </w:r>
          </w:p>
        </w:tc>
        <w:tc>
          <w:tcPr>
            <w:tcW w:w="1661" w:type="dxa"/>
            <w:vAlign w:val="center"/>
          </w:tcPr>
          <w:p w14:paraId="67ED049D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38548FD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53547783">
            <w:pPr>
              <w:jc w:val="left"/>
            </w:pPr>
            <w:r>
              <w:t>用电3.2%↑ 货运2.8%↑</w:t>
            </w:r>
          </w:p>
        </w:tc>
        <w:tc>
          <w:tcPr>
            <w:tcW w:w="1661" w:type="dxa"/>
            <w:vAlign w:val="center"/>
          </w:tcPr>
          <w:p w14:paraId="3CBD62B0">
            <w:pPr>
              <w:jc w:val="left"/>
            </w:pPr>
            <w:r>
              <w:t>6</w:t>
            </w:r>
          </w:p>
        </w:tc>
      </w:tr>
      <w:tr w14:paraId="6389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7F3646B">
            <w:pPr>
              <w:jc w:val="left"/>
            </w:pPr>
            <w:r>
              <w:rPr>
                <w:b/>
              </w:rPr>
              <w:t>CAI合计</w:t>
            </w:r>
          </w:p>
        </w:tc>
        <w:tc>
          <w:tcPr>
            <w:tcW w:w="1661" w:type="dxa"/>
            <w:vAlign w:val="center"/>
          </w:tcPr>
          <w:p w14:paraId="7D58B4C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E50047C">
            <w:pPr>
              <w:jc w:val="left"/>
            </w:pPr>
            <w:r>
              <w:rPr>
                <w:b/>
              </w:rPr>
              <w:t>3.0/10</w:t>
            </w:r>
          </w:p>
        </w:tc>
        <w:tc>
          <w:tcPr>
            <w:tcW w:w="1661" w:type="dxa"/>
            <w:vAlign w:val="center"/>
          </w:tcPr>
          <w:p w14:paraId="010457D8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4F9CA87E">
            <w:pPr>
              <w:jc w:val="left"/>
            </w:pPr>
            <w:r>
              <w:rPr>
                <w:b/>
              </w:rPr>
              <w:t>6.0/10</w:t>
            </w:r>
          </w:p>
        </w:tc>
      </w:tr>
    </w:tbl>
    <w:p w14:paraId="26D7086D">
      <w:pPr>
        <w:pStyle w:val="4"/>
      </w:pPr>
      <w:r>
        <w:rPr>
          <w:b/>
        </w:rPr>
        <w:t>FCI（金融条件指数）连续分数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9874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85A14E1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518123D7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435685EF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09DC7763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EE1173F">
            <w:pPr>
              <w:jc w:val="left"/>
            </w:pPr>
            <w:r>
              <w:t>得分</w:t>
            </w:r>
          </w:p>
        </w:tc>
      </w:tr>
      <w:tr w14:paraId="584C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73004F8">
            <w:pPr>
              <w:jc w:val="left"/>
            </w:pPr>
            <w:r>
              <w:t>短端利率/政策利率</w:t>
            </w:r>
          </w:p>
        </w:tc>
        <w:tc>
          <w:tcPr>
            <w:tcW w:w="1661" w:type="dxa"/>
            <w:vAlign w:val="center"/>
          </w:tcPr>
          <w:p w14:paraId="7E278A3D">
            <w:pPr>
              <w:jc w:val="left"/>
            </w:pPr>
            <w:r>
              <w:t>3.50-3.75%中性</w:t>
            </w:r>
          </w:p>
        </w:tc>
        <w:tc>
          <w:tcPr>
            <w:tcW w:w="1661" w:type="dxa"/>
            <w:vAlign w:val="center"/>
          </w:tcPr>
          <w:p w14:paraId="7E26DE1A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2CFB2489">
            <w:pPr>
              <w:jc w:val="left"/>
            </w:pPr>
            <w:r>
              <w:t>DR007&lt;政策利率</w:t>
            </w:r>
          </w:p>
        </w:tc>
        <w:tc>
          <w:tcPr>
            <w:tcW w:w="1661" w:type="dxa"/>
            <w:vAlign w:val="center"/>
          </w:tcPr>
          <w:p w14:paraId="286B37DB">
            <w:pPr>
              <w:jc w:val="left"/>
            </w:pPr>
            <w:r>
              <w:t>7</w:t>
            </w:r>
          </w:p>
        </w:tc>
      </w:tr>
      <w:tr w14:paraId="4992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4FF4064">
            <w:pPr>
              <w:jc w:val="left"/>
            </w:pPr>
            <w:r>
              <w:t>长端利率</w:t>
            </w:r>
          </w:p>
        </w:tc>
        <w:tc>
          <w:tcPr>
            <w:tcW w:w="1661" w:type="dxa"/>
            <w:vAlign w:val="center"/>
          </w:tcPr>
          <w:p w14:paraId="6749D292">
            <w:pPr>
              <w:jc w:val="left"/>
            </w:pPr>
            <w:r>
              <w:t>10Y 4.30%↑</w:t>
            </w:r>
          </w:p>
        </w:tc>
        <w:tc>
          <w:tcPr>
            <w:tcW w:w="1661" w:type="dxa"/>
            <w:vAlign w:val="center"/>
          </w:tcPr>
          <w:p w14:paraId="70ED9A3D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2821BD73">
            <w:pPr>
              <w:jc w:val="left"/>
            </w:pPr>
            <w:r>
              <w:t>10Y 2.48%↓</w:t>
            </w:r>
          </w:p>
        </w:tc>
        <w:tc>
          <w:tcPr>
            <w:tcW w:w="1661" w:type="dxa"/>
            <w:vAlign w:val="center"/>
          </w:tcPr>
          <w:p w14:paraId="4D9312DD">
            <w:pPr>
              <w:jc w:val="left"/>
            </w:pPr>
            <w:r>
              <w:t>7</w:t>
            </w:r>
          </w:p>
        </w:tc>
      </w:tr>
      <w:tr w14:paraId="48F5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3F9A9A3F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7BF63A42">
            <w:pPr>
              <w:jc w:val="left"/>
            </w:pPr>
            <w:r>
              <w:t>温和</w:t>
            </w:r>
          </w:p>
        </w:tc>
        <w:tc>
          <w:tcPr>
            <w:tcW w:w="1661" w:type="dxa"/>
            <w:vAlign w:val="center"/>
          </w:tcPr>
          <w:p w14:paraId="04676192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127C143D">
            <w:pPr>
              <w:jc w:val="left"/>
            </w:pPr>
            <w:r>
              <w:t>温和</w:t>
            </w:r>
          </w:p>
        </w:tc>
        <w:tc>
          <w:tcPr>
            <w:tcW w:w="1661" w:type="dxa"/>
            <w:vAlign w:val="center"/>
          </w:tcPr>
          <w:p w14:paraId="3EE4A170">
            <w:pPr>
              <w:jc w:val="left"/>
            </w:pPr>
            <w:r>
              <w:t>6</w:t>
            </w:r>
          </w:p>
        </w:tc>
      </w:tr>
      <w:tr w14:paraId="284B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DB7128">
            <w:pPr>
              <w:jc w:val="left"/>
            </w:pPr>
            <w:r>
              <w:t>汇率压力</w:t>
            </w:r>
          </w:p>
        </w:tc>
        <w:tc>
          <w:tcPr>
            <w:tcW w:w="1661" w:type="dxa"/>
            <w:vAlign w:val="center"/>
          </w:tcPr>
          <w:p w14:paraId="315E2E08">
            <w:pPr>
              <w:jc w:val="left"/>
            </w:pPr>
            <w:r>
              <w:t>USD 104.8↑（偏强）</w:t>
            </w:r>
          </w:p>
        </w:tc>
        <w:tc>
          <w:tcPr>
            <w:tcW w:w="1661" w:type="dxa"/>
            <w:vAlign w:val="center"/>
          </w:tcPr>
          <w:p w14:paraId="649159E0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16B85355">
            <w:pPr>
              <w:jc w:val="left"/>
            </w:pPr>
            <w:r>
              <w:t>CNH 7.22稳定</w:t>
            </w:r>
          </w:p>
        </w:tc>
        <w:tc>
          <w:tcPr>
            <w:tcW w:w="1661" w:type="dxa"/>
            <w:vAlign w:val="center"/>
          </w:tcPr>
          <w:p w14:paraId="34B341E0">
            <w:pPr>
              <w:jc w:val="left"/>
            </w:pPr>
            <w:r>
              <w:t>5</w:t>
            </w:r>
          </w:p>
        </w:tc>
      </w:tr>
      <w:tr w14:paraId="2953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6035915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1B9AC2D1">
            <w:pPr>
              <w:jc w:val="left"/>
            </w:pPr>
            <w:r>
              <w:t>VIX 16.8平稳</w:t>
            </w:r>
          </w:p>
        </w:tc>
        <w:tc>
          <w:tcPr>
            <w:tcW w:w="1661" w:type="dxa"/>
            <w:vAlign w:val="center"/>
          </w:tcPr>
          <w:p w14:paraId="183BB199">
            <w:pPr>
              <w:jc w:val="left"/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6F1567E4">
            <w:pPr>
              <w:jc w:val="left"/>
            </w:pPr>
            <w:r>
              <w:t>北向+1260亿</w:t>
            </w:r>
          </w:p>
        </w:tc>
        <w:tc>
          <w:tcPr>
            <w:tcW w:w="1661" w:type="dxa"/>
            <w:vAlign w:val="center"/>
          </w:tcPr>
          <w:p w14:paraId="03D138C7">
            <w:pPr>
              <w:jc w:val="left"/>
            </w:pPr>
            <w:r>
              <w:t>7</w:t>
            </w:r>
          </w:p>
        </w:tc>
      </w:tr>
      <w:tr w14:paraId="6B60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7037B59">
            <w:pPr>
              <w:jc w:val="left"/>
            </w:pPr>
            <w:r>
              <w:rPr>
                <w:b/>
              </w:rPr>
              <w:t>FCI合计</w:t>
            </w:r>
          </w:p>
        </w:tc>
        <w:tc>
          <w:tcPr>
            <w:tcW w:w="1661" w:type="dxa"/>
            <w:vAlign w:val="center"/>
          </w:tcPr>
          <w:p w14:paraId="578483F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BDC6F04">
            <w:pPr>
              <w:jc w:val="left"/>
            </w:pPr>
            <w:r>
              <w:rPr>
                <w:b/>
              </w:rPr>
              <w:t>4.8/10</w:t>
            </w:r>
          </w:p>
        </w:tc>
        <w:tc>
          <w:tcPr>
            <w:tcW w:w="1661" w:type="dxa"/>
            <w:vAlign w:val="center"/>
          </w:tcPr>
          <w:p w14:paraId="43EF5B2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508DBD2">
            <w:pPr>
              <w:jc w:val="left"/>
            </w:pPr>
            <w:r>
              <w:rPr>
                <w:b/>
              </w:rPr>
              <w:t>6.4/10</w:t>
            </w:r>
          </w:p>
        </w:tc>
      </w:tr>
    </w:tbl>
    <w:p w14:paraId="610B000E">
      <w:pPr>
        <w:pStyle w:val="12"/>
      </w:pPr>
      <w:r>
        <w:t>得分说明：1-3=紧缩/疲弱，4-5=中性，6-7=偏松/改善，8-10=宽松/强劲</w:t>
      </w:r>
    </w:p>
    <w:p w14:paraId="1F5EC473">
      <w:pPr>
        <w:pStyle w:val="4"/>
      </w:pPr>
      <w:r>
        <w:rPr>
          <w:b/>
        </w:rPr>
        <w:t>离散标签与通胀得分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C16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DD6C0D">
            <w:pPr>
              <w:jc w:val="left"/>
            </w:pPr>
            <w:r>
              <w:t>项目</w:t>
            </w:r>
          </w:p>
        </w:tc>
        <w:tc>
          <w:tcPr>
            <w:tcW w:w="2768" w:type="dxa"/>
            <w:vAlign w:val="center"/>
          </w:tcPr>
          <w:p w14:paraId="1AC26322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68D1A26F">
            <w:pPr>
              <w:jc w:val="left"/>
            </w:pPr>
            <w:r>
              <w:t>中国</w:t>
            </w:r>
          </w:p>
        </w:tc>
      </w:tr>
      <w:tr w14:paraId="4490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13DAF8C">
            <w:pPr>
              <w:jc w:val="left"/>
            </w:pPr>
            <w:r>
              <w:t>CAI离散标签</w:t>
            </w:r>
          </w:p>
        </w:tc>
        <w:tc>
          <w:tcPr>
            <w:tcW w:w="2768" w:type="dxa"/>
            <w:vAlign w:val="center"/>
          </w:tcPr>
          <w:p w14:paraId="419976D9">
            <w:pPr>
              <w:jc w:val="left"/>
            </w:pPr>
            <w:r>
              <w:t>收缩边缘（PMI&lt;50但接近）</w:t>
            </w:r>
          </w:p>
        </w:tc>
        <w:tc>
          <w:tcPr>
            <w:tcW w:w="2768" w:type="dxa"/>
            <w:vAlign w:val="center"/>
          </w:tcPr>
          <w:p w14:paraId="0535650F">
            <w:pPr>
              <w:jc w:val="left"/>
            </w:pPr>
            <w:r>
              <w:t>温和扩张（PMI&gt;50+社融↑）</w:t>
            </w:r>
          </w:p>
        </w:tc>
      </w:tr>
      <w:tr w14:paraId="1500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86BDF14">
            <w:pPr>
              <w:jc w:val="left"/>
            </w:pPr>
            <w:r>
              <w:t>FCI离散标签</w:t>
            </w:r>
          </w:p>
        </w:tc>
        <w:tc>
          <w:tcPr>
            <w:tcW w:w="2768" w:type="dxa"/>
            <w:vAlign w:val="center"/>
          </w:tcPr>
          <w:p w14:paraId="7BD15C01">
            <w:pPr>
              <w:jc w:val="left"/>
            </w:pPr>
            <w:r>
              <w:t>中性偏松</w:t>
            </w:r>
          </w:p>
        </w:tc>
        <w:tc>
          <w:tcPr>
            <w:tcW w:w="2768" w:type="dxa"/>
            <w:vAlign w:val="center"/>
          </w:tcPr>
          <w:p w14:paraId="2FB1AD57">
            <w:pPr>
              <w:jc w:val="left"/>
            </w:pPr>
            <w:r>
              <w:t>偏松</w:t>
            </w:r>
          </w:p>
        </w:tc>
      </w:tr>
      <w:tr w14:paraId="3435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4FE102E">
            <w:pPr>
              <w:jc w:val="left"/>
            </w:pPr>
            <w:r>
              <w:t>通胀得分</w:t>
            </w:r>
          </w:p>
        </w:tc>
        <w:tc>
          <w:tcPr>
            <w:tcW w:w="2768" w:type="dxa"/>
            <w:vAlign w:val="center"/>
          </w:tcPr>
          <w:p w14:paraId="5270264F">
            <w:pPr>
              <w:jc w:val="left"/>
            </w:pPr>
            <w:r>
              <w:t>6/10（核心2.6%，通胀黏性）</w:t>
            </w:r>
          </w:p>
        </w:tc>
        <w:tc>
          <w:tcPr>
            <w:tcW w:w="2768" w:type="dxa"/>
            <w:vAlign w:val="center"/>
          </w:tcPr>
          <w:p w14:paraId="530FE9E3">
            <w:pPr>
              <w:jc w:val="left"/>
            </w:pPr>
            <w:r>
              <w:t>3/10（核心0.9%，通缩压力缓解但未消退）</w:t>
            </w:r>
          </w:p>
        </w:tc>
      </w:tr>
    </w:tbl>
    <w:p w14:paraId="0FA001A8">
      <w:pPr>
        <w:pStyle w:val="4"/>
      </w:pPr>
      <w:r>
        <w:rPr>
          <w:b/>
        </w:rPr>
        <w:t>两国状态画像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FDB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4956A74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3288BF78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64E99D68">
            <w:pPr>
              <w:jc w:val="left"/>
            </w:pPr>
            <w:r>
              <w:t>中国</w:t>
            </w:r>
          </w:p>
        </w:tc>
      </w:tr>
      <w:tr w14:paraId="2908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9101DE0">
            <w:pPr>
              <w:jc w:val="left"/>
            </w:pPr>
            <w:r>
              <w:t>增长</w:t>
            </w:r>
          </w:p>
        </w:tc>
        <w:tc>
          <w:tcPr>
            <w:tcW w:w="2768" w:type="dxa"/>
            <w:vAlign w:val="center"/>
          </w:tcPr>
          <w:p w14:paraId="2E920FD7">
            <w:pPr>
              <w:jc w:val="left"/>
            </w:pPr>
            <w:r>
              <w:t>放缓（PMI&lt;50，就业走弱）</w:t>
            </w:r>
          </w:p>
        </w:tc>
        <w:tc>
          <w:tcPr>
            <w:tcW w:w="2768" w:type="dxa"/>
            <w:vAlign w:val="center"/>
          </w:tcPr>
          <w:p w14:paraId="5F176ED2">
            <w:pPr>
              <w:jc w:val="left"/>
            </w:pPr>
            <w:r>
              <w:t>修复（PMI&gt;50，社融连升）</w:t>
            </w:r>
          </w:p>
        </w:tc>
      </w:tr>
      <w:tr w14:paraId="15E9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D48398">
            <w:pPr>
              <w:jc w:val="left"/>
            </w:pPr>
            <w:r>
              <w:t>通胀</w:t>
            </w:r>
          </w:p>
        </w:tc>
        <w:tc>
          <w:tcPr>
            <w:tcW w:w="2768" w:type="dxa"/>
            <w:vAlign w:val="center"/>
          </w:tcPr>
          <w:p w14:paraId="466C7B8C">
            <w:pPr>
              <w:jc w:val="left"/>
            </w:pPr>
            <w:r>
              <w:t>黏性偏高中枢</w:t>
            </w:r>
          </w:p>
        </w:tc>
        <w:tc>
          <w:tcPr>
            <w:tcW w:w="2768" w:type="dxa"/>
            <w:vAlign w:val="center"/>
          </w:tcPr>
          <w:p w14:paraId="725DB06B">
            <w:pPr>
              <w:jc w:val="left"/>
            </w:pPr>
            <w:r>
              <w:t>温和偏低</w:t>
            </w:r>
          </w:p>
        </w:tc>
      </w:tr>
      <w:tr w14:paraId="3A5A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E67B591">
            <w:pPr>
              <w:jc w:val="left"/>
            </w:pPr>
            <w:r>
              <w:t>流动性</w:t>
            </w:r>
          </w:p>
        </w:tc>
        <w:tc>
          <w:tcPr>
            <w:tcW w:w="2768" w:type="dxa"/>
            <w:vAlign w:val="center"/>
          </w:tcPr>
          <w:p w14:paraId="371D918E">
            <w:pPr>
              <w:jc w:val="left"/>
            </w:pPr>
            <w:r>
              <w:t>中性偏松</w:t>
            </w:r>
          </w:p>
        </w:tc>
        <w:tc>
          <w:tcPr>
            <w:tcW w:w="2768" w:type="dxa"/>
            <w:vAlign w:val="center"/>
          </w:tcPr>
          <w:p w14:paraId="63624073">
            <w:pPr>
              <w:jc w:val="left"/>
            </w:pPr>
            <w:r>
              <w:t>偏松</w:t>
            </w:r>
          </w:p>
        </w:tc>
      </w:tr>
      <w:tr w14:paraId="031C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36572C2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546A83F6">
            <w:pPr>
              <w:jc w:val="left"/>
            </w:pPr>
            <w:r>
              <w:t>观望</w:t>
            </w:r>
          </w:p>
        </w:tc>
        <w:tc>
          <w:tcPr>
            <w:tcW w:w="2768" w:type="dxa"/>
            <w:vAlign w:val="center"/>
          </w:tcPr>
          <w:p w14:paraId="1149CBD5">
            <w:pPr>
              <w:jc w:val="left"/>
            </w:pPr>
            <w:r>
              <w:t>扩张（企业中长贷10.8%↑）</w:t>
            </w:r>
          </w:p>
        </w:tc>
      </w:tr>
      <w:tr w14:paraId="347C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6A3F31F">
            <w:pPr>
              <w:jc w:val="left"/>
            </w:pPr>
            <w:r>
              <w:t>综合</w:t>
            </w:r>
          </w:p>
        </w:tc>
        <w:tc>
          <w:tcPr>
            <w:tcW w:w="2768" w:type="dxa"/>
            <w:vAlign w:val="center"/>
          </w:tcPr>
          <w:p w14:paraId="69A27E2F">
            <w:pPr>
              <w:jc w:val="left"/>
            </w:pPr>
            <w:r>
              <w:t>金发姑娘尾声</w:t>
            </w:r>
          </w:p>
        </w:tc>
        <w:tc>
          <w:tcPr>
            <w:tcW w:w="2768" w:type="dxa"/>
            <w:vAlign w:val="center"/>
          </w:tcPr>
          <w:p w14:paraId="214B7D72">
            <w:pPr>
              <w:jc w:val="left"/>
            </w:pPr>
            <w:r>
              <w:t>复苏早期</w:t>
            </w:r>
          </w:p>
        </w:tc>
      </w:tr>
    </w:tbl>
    <w:p w14:paraId="426BE849">
      <w:pPr>
        <w:pBdr>
          <w:bottom w:val="single" w:color="auto" w:sz="8" w:space="0"/>
        </w:pBdr>
      </w:pPr>
    </w:p>
    <w:p w14:paraId="2BB9D2D4">
      <w:pPr>
        <w:pStyle w:val="6"/>
      </w:pPr>
      <w:r>
        <w:t>Layer 2：周期定位</w:t>
      </w:r>
    </w:p>
    <w:p w14:paraId="7F76ADD9">
      <w:pPr>
        <w:pStyle w:val="4"/>
      </w:pPr>
      <w:r>
        <w:rPr>
          <w:b/>
        </w:rPr>
        <w:t>中美4象限定位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039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DA7126C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29CD7CBC">
            <w:pPr>
              <w:jc w:val="left"/>
            </w:pPr>
            <w:r>
              <w:t>增长方向</w:t>
            </w:r>
          </w:p>
        </w:tc>
        <w:tc>
          <w:tcPr>
            <w:tcW w:w="1661" w:type="dxa"/>
            <w:vAlign w:val="center"/>
          </w:tcPr>
          <w:p w14:paraId="293F69A7">
            <w:pPr>
              <w:jc w:val="left"/>
            </w:pPr>
            <w:r>
              <w:t>通胀方向</w:t>
            </w:r>
          </w:p>
        </w:tc>
        <w:tc>
          <w:tcPr>
            <w:tcW w:w="1661" w:type="dxa"/>
            <w:vAlign w:val="center"/>
          </w:tcPr>
          <w:p w14:paraId="6F765C0D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4D540FDF">
            <w:pPr>
              <w:jc w:val="left"/>
            </w:pPr>
            <w:r>
              <w:t>含义</w:t>
            </w:r>
          </w:p>
        </w:tc>
      </w:tr>
      <w:tr w14:paraId="509F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AD4C854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356C5F96">
            <w:pPr>
              <w:jc w:val="left"/>
            </w:pPr>
            <w:r>
              <w:t>↓（PMI&lt;50，失业↑）</w:t>
            </w:r>
          </w:p>
        </w:tc>
        <w:tc>
          <w:tcPr>
            <w:tcW w:w="1661" w:type="dxa"/>
            <w:vAlign w:val="center"/>
          </w:tcPr>
          <w:p w14:paraId="09C32AD9">
            <w:pPr>
              <w:jc w:val="left"/>
            </w:pPr>
            <w:r>
              <w:t>→（黏性但非加速）</w:t>
            </w:r>
          </w:p>
        </w:tc>
        <w:tc>
          <w:tcPr>
            <w:tcW w:w="1661" w:type="dxa"/>
            <w:vAlign w:val="center"/>
          </w:tcPr>
          <w:p w14:paraId="68454523">
            <w:pPr>
              <w:jc w:val="left"/>
            </w:pPr>
            <w:r>
              <w:t>Ⅱ→Ⅲ过渡</w:t>
            </w:r>
          </w:p>
        </w:tc>
        <w:tc>
          <w:tcPr>
            <w:tcW w:w="1661" w:type="dxa"/>
            <w:vAlign w:val="center"/>
          </w:tcPr>
          <w:p w14:paraId="4658FE63">
            <w:pPr>
              <w:jc w:val="left"/>
            </w:pPr>
            <w:r>
              <w:t>衰退前期</w:t>
            </w:r>
          </w:p>
        </w:tc>
      </w:tr>
      <w:tr w14:paraId="50BE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7DE4CC3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7EAC23E5">
            <w:pPr>
              <w:jc w:val="left"/>
            </w:pPr>
            <w:r>
              <w:t>↑（PMI&gt;50，社融↑）</w:t>
            </w:r>
          </w:p>
        </w:tc>
        <w:tc>
          <w:tcPr>
            <w:tcW w:w="1661" w:type="dxa"/>
            <w:vAlign w:val="center"/>
          </w:tcPr>
          <w:p w14:paraId="38FA4777">
            <w:pPr>
              <w:jc w:val="left"/>
            </w:pPr>
            <w:r>
              <w:t>→（核心0.9%温和）</w:t>
            </w:r>
          </w:p>
        </w:tc>
        <w:tc>
          <w:tcPr>
            <w:tcW w:w="1661" w:type="dxa"/>
            <w:vAlign w:val="center"/>
          </w:tcPr>
          <w:p w14:paraId="0DB6DE81">
            <w:pPr>
              <w:jc w:val="left"/>
            </w:pPr>
            <w:r>
              <w:t>Ⅲ→Ⅳ过渡</w:t>
            </w:r>
          </w:p>
        </w:tc>
        <w:tc>
          <w:tcPr>
            <w:tcW w:w="1661" w:type="dxa"/>
            <w:vAlign w:val="center"/>
          </w:tcPr>
          <w:p w14:paraId="0E20A67C">
            <w:pPr>
              <w:jc w:val="left"/>
            </w:pPr>
            <w:r>
              <w:t>复苏早期</w:t>
            </w:r>
          </w:p>
        </w:tc>
      </w:tr>
    </w:tbl>
    <w:p w14:paraId="24C92176">
      <w:pPr>
        <w:pStyle w:val="4"/>
      </w:pPr>
      <w:r>
        <w:rPr>
          <w:b/>
        </w:rPr>
        <w:t>政策维度调节得分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B6A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86DDE7A">
            <w:pPr>
              <w:jc w:val="left"/>
            </w:pPr>
            <w:r>
              <w:t>政策维度</w:t>
            </w:r>
          </w:p>
        </w:tc>
        <w:tc>
          <w:tcPr>
            <w:tcW w:w="2768" w:type="dxa"/>
            <w:vAlign w:val="center"/>
          </w:tcPr>
          <w:p w14:paraId="212EB80E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0C242ADF">
            <w:pPr>
              <w:jc w:val="left"/>
            </w:pPr>
            <w:r>
              <w:t>中国</w:t>
            </w:r>
          </w:p>
        </w:tc>
      </w:tr>
      <w:tr w14:paraId="2F13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3E428DE">
            <w:pPr>
              <w:jc w:val="left"/>
            </w:pPr>
            <w:r>
              <w:t>货币政策立场</w:t>
            </w:r>
          </w:p>
        </w:tc>
        <w:tc>
          <w:tcPr>
            <w:tcW w:w="2768" w:type="dxa"/>
            <w:vAlign w:val="center"/>
          </w:tcPr>
          <w:p w14:paraId="07040640">
            <w:pPr>
              <w:jc w:val="left"/>
            </w:pPr>
            <w:r>
              <w:t>中性（3.50-3.75%）→+0</w:t>
            </w:r>
          </w:p>
        </w:tc>
        <w:tc>
          <w:tcPr>
            <w:tcW w:w="2768" w:type="dxa"/>
            <w:vAlign w:val="center"/>
          </w:tcPr>
          <w:p w14:paraId="1B4D0171">
            <w:pPr>
              <w:jc w:val="left"/>
            </w:pPr>
            <w:r>
              <w:t>偏松（DR007&lt;政策利率）→+1</w:t>
            </w:r>
          </w:p>
        </w:tc>
      </w:tr>
      <w:tr w14:paraId="6AA0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5146CF9">
            <w:pPr>
              <w:jc w:val="left"/>
            </w:pPr>
            <w:r>
              <w:t>财政政策预期</w:t>
            </w:r>
          </w:p>
        </w:tc>
        <w:tc>
          <w:tcPr>
            <w:tcW w:w="2768" w:type="dxa"/>
            <w:vAlign w:val="center"/>
          </w:tcPr>
          <w:p w14:paraId="33A38C59">
            <w:pPr>
              <w:jc w:val="left"/>
            </w:pPr>
            <w:r>
              <w:t>温和扩张→+0.5</w:t>
            </w:r>
          </w:p>
        </w:tc>
        <w:tc>
          <w:tcPr>
            <w:tcW w:w="2768" w:type="dxa"/>
            <w:vAlign w:val="center"/>
          </w:tcPr>
          <w:p w14:paraId="5DC5B8A8">
            <w:pPr>
              <w:jc w:val="left"/>
            </w:pPr>
            <w:r>
              <w:t>积极发力→+1</w:t>
            </w:r>
          </w:p>
        </w:tc>
      </w:tr>
      <w:tr w14:paraId="143C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44F5957">
            <w:pPr>
              <w:jc w:val="left"/>
            </w:pPr>
            <w:r>
              <w:t>监管政策环境</w:t>
            </w:r>
          </w:p>
        </w:tc>
        <w:tc>
          <w:tcPr>
            <w:tcW w:w="2768" w:type="dxa"/>
            <w:vAlign w:val="center"/>
          </w:tcPr>
          <w:p w14:paraId="2549F9BB">
            <w:pPr>
              <w:jc w:val="left"/>
            </w:pPr>
            <w:r>
              <w:t>中性→+0</w:t>
            </w:r>
          </w:p>
        </w:tc>
        <w:tc>
          <w:tcPr>
            <w:tcW w:w="2768" w:type="dxa"/>
            <w:vAlign w:val="center"/>
          </w:tcPr>
          <w:p w14:paraId="3BC267F5">
            <w:pPr>
              <w:jc w:val="left"/>
            </w:pPr>
            <w:r>
              <w:t>边际宽松→+0.5</w:t>
            </w:r>
          </w:p>
        </w:tc>
      </w:tr>
      <w:tr w14:paraId="73B3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4B8BCD6">
            <w:pPr>
              <w:jc w:val="left"/>
            </w:pPr>
            <w:r>
              <w:t>政策维度总分</w:t>
            </w:r>
          </w:p>
        </w:tc>
        <w:tc>
          <w:tcPr>
            <w:tcW w:w="2768" w:type="dxa"/>
            <w:vAlign w:val="center"/>
          </w:tcPr>
          <w:p w14:paraId="66C622DD">
            <w:pPr>
              <w:jc w:val="left"/>
            </w:pPr>
            <w:r>
              <w:rPr>
                <w:b/>
              </w:rPr>
              <w:t>+0.5</w:t>
            </w:r>
          </w:p>
        </w:tc>
        <w:tc>
          <w:tcPr>
            <w:tcW w:w="2768" w:type="dxa"/>
            <w:vAlign w:val="center"/>
          </w:tcPr>
          <w:p w14:paraId="3143B795">
            <w:pPr>
              <w:jc w:val="left"/>
            </w:pPr>
            <w:r>
              <w:rPr>
                <w:b/>
              </w:rPr>
              <w:t>+2.5</w:t>
            </w:r>
          </w:p>
        </w:tc>
      </w:tr>
    </w:tbl>
    <w:p w14:paraId="4043BCE8">
      <w:pPr>
        <w:pStyle w:val="12"/>
      </w:pPr>
      <w:r>
        <w:t>政策调节得分含义：正向表示政策对增长/市场的支撑力度</w:t>
      </w:r>
    </w:p>
    <w:p w14:paraId="7625335F">
      <w:pPr>
        <w:pStyle w:val="4"/>
      </w:pPr>
      <w:r>
        <w:rPr>
          <w:b/>
        </w:rPr>
        <w:t>长期债务周期偏置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974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B4EA648">
            <w:pPr>
              <w:jc w:val="left"/>
            </w:pPr>
            <w:r>
              <w:t>经济体</w:t>
            </w:r>
          </w:p>
        </w:tc>
        <w:tc>
          <w:tcPr>
            <w:tcW w:w="2076" w:type="dxa"/>
            <w:vAlign w:val="center"/>
          </w:tcPr>
          <w:p w14:paraId="5EF5276A">
            <w:pPr>
              <w:jc w:val="left"/>
            </w:pPr>
            <w:r>
              <w:t>判断</w:t>
            </w:r>
          </w:p>
        </w:tc>
        <w:tc>
          <w:tcPr>
            <w:tcW w:w="2076" w:type="dxa"/>
            <w:vAlign w:val="center"/>
          </w:tcPr>
          <w:p w14:paraId="6517199A">
            <w:pPr>
              <w:jc w:val="left"/>
            </w:pPr>
            <w:r>
              <w:t>依据</w:t>
            </w:r>
          </w:p>
        </w:tc>
        <w:tc>
          <w:tcPr>
            <w:tcW w:w="2076" w:type="dxa"/>
            <w:vAlign w:val="center"/>
          </w:tcPr>
          <w:p w14:paraId="63EFE88D">
            <w:pPr>
              <w:jc w:val="left"/>
            </w:pPr>
            <w:r>
              <w:t>偏置方向</w:t>
            </w:r>
          </w:p>
        </w:tc>
      </w:tr>
      <w:tr w14:paraId="4C1C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74BB44A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3736B110">
            <w:pPr>
              <w:jc w:val="left"/>
            </w:pPr>
            <w:r>
              <w:t>去杠杆中期</w:t>
            </w:r>
          </w:p>
        </w:tc>
        <w:tc>
          <w:tcPr>
            <w:tcW w:w="2076" w:type="dxa"/>
            <w:vAlign w:val="center"/>
          </w:tcPr>
          <w:p w14:paraId="6DE07A08">
            <w:pPr>
              <w:jc w:val="left"/>
            </w:pPr>
            <w:r>
              <w:t>居民杠杆率高位回落，企业杠杆持稳</w:t>
            </w:r>
          </w:p>
        </w:tc>
        <w:tc>
          <w:tcPr>
            <w:tcW w:w="2076" w:type="dxa"/>
            <w:vAlign w:val="center"/>
          </w:tcPr>
          <w:p w14:paraId="602FC8A9">
            <w:pPr>
              <w:jc w:val="left"/>
            </w:pPr>
            <w:r>
              <w:t>偏负面（-0.5）</w:t>
            </w:r>
          </w:p>
        </w:tc>
      </w:tr>
      <w:tr w14:paraId="72A7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917BF6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1CD2A0CE">
            <w:pPr>
              <w:jc w:val="left"/>
            </w:pPr>
            <w:r>
              <w:t>去杠杆后半段</w:t>
            </w:r>
          </w:p>
        </w:tc>
        <w:tc>
          <w:tcPr>
            <w:tcW w:w="2076" w:type="dxa"/>
            <w:vAlign w:val="center"/>
          </w:tcPr>
          <w:p w14:paraId="2AA0F0A3">
            <w:pPr>
              <w:jc w:val="left"/>
            </w:pPr>
            <w:r>
              <w:t>地产投资-5.2%收窄，地方化债推进</w:t>
            </w:r>
          </w:p>
        </w:tc>
        <w:tc>
          <w:tcPr>
            <w:tcW w:w="2076" w:type="dxa"/>
            <w:vAlign w:val="center"/>
          </w:tcPr>
          <w:p w14:paraId="0D1B2C48">
            <w:pPr>
              <w:jc w:val="left"/>
            </w:pPr>
            <w:r>
              <w:t>偏中性（0）</w:t>
            </w:r>
          </w:p>
        </w:tc>
      </w:tr>
    </w:tbl>
    <w:p w14:paraId="4EF928AE">
      <w:pPr>
        <w:pStyle w:val="4"/>
      </w:pPr>
      <w:r>
        <w:rPr>
          <w:b/>
        </w:rPr>
        <w:t>Layer 2综合定位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FE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DB1C3C2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71FEDDCA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5FE3C163">
            <w:pPr>
              <w:jc w:val="left"/>
            </w:pPr>
            <w:r>
              <w:t>政策调节</w:t>
            </w:r>
          </w:p>
        </w:tc>
        <w:tc>
          <w:tcPr>
            <w:tcW w:w="1661" w:type="dxa"/>
            <w:vAlign w:val="center"/>
          </w:tcPr>
          <w:p w14:paraId="5FFC7DEF">
            <w:pPr>
              <w:jc w:val="left"/>
            </w:pPr>
            <w:r>
              <w:t>债务偏置</w:t>
            </w:r>
          </w:p>
        </w:tc>
        <w:tc>
          <w:tcPr>
            <w:tcW w:w="1661" w:type="dxa"/>
            <w:vAlign w:val="center"/>
          </w:tcPr>
          <w:p w14:paraId="49EA63B7">
            <w:pPr>
              <w:jc w:val="left"/>
            </w:pPr>
            <w:r>
              <w:t>综合定位</w:t>
            </w:r>
          </w:p>
        </w:tc>
      </w:tr>
      <w:tr w14:paraId="374A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9D0D226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397CF1AA">
            <w:pPr>
              <w:jc w:val="left"/>
            </w:pPr>
            <w:r>
              <w:t>Ⅱ→Ⅲ</w:t>
            </w:r>
          </w:p>
        </w:tc>
        <w:tc>
          <w:tcPr>
            <w:tcW w:w="1661" w:type="dxa"/>
            <w:vAlign w:val="center"/>
          </w:tcPr>
          <w:p w14:paraId="0F53DB9A">
            <w:pPr>
              <w:jc w:val="left"/>
            </w:pPr>
            <w:r>
              <w:t>+0.5</w:t>
            </w:r>
          </w:p>
        </w:tc>
        <w:tc>
          <w:tcPr>
            <w:tcW w:w="1661" w:type="dxa"/>
            <w:vAlign w:val="center"/>
          </w:tcPr>
          <w:p w14:paraId="19588280">
            <w:pPr>
              <w:jc w:val="left"/>
            </w:pPr>
            <w:r>
              <w:t>-0.5</w:t>
            </w:r>
          </w:p>
        </w:tc>
        <w:tc>
          <w:tcPr>
            <w:tcW w:w="1661" w:type="dxa"/>
            <w:vAlign w:val="center"/>
          </w:tcPr>
          <w:p w14:paraId="481B72FD">
            <w:pPr>
              <w:jc w:val="left"/>
            </w:pPr>
            <w:r>
              <w:t>衰退前期，政策对冲有限</w:t>
            </w:r>
          </w:p>
        </w:tc>
      </w:tr>
      <w:tr w14:paraId="1597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C56A212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55CE385">
            <w:pPr>
              <w:jc w:val="left"/>
            </w:pPr>
            <w:r>
              <w:t>Ⅲ→Ⅳ</w:t>
            </w:r>
          </w:p>
        </w:tc>
        <w:tc>
          <w:tcPr>
            <w:tcW w:w="1661" w:type="dxa"/>
            <w:vAlign w:val="center"/>
          </w:tcPr>
          <w:p w14:paraId="3C33BCBE">
            <w:pPr>
              <w:jc w:val="left"/>
            </w:pPr>
            <w:r>
              <w:t>+2.5</w:t>
            </w:r>
          </w:p>
        </w:tc>
        <w:tc>
          <w:tcPr>
            <w:tcW w:w="1661" w:type="dxa"/>
            <w:vAlign w:val="center"/>
          </w:tcPr>
          <w:p w14:paraId="707B7EE6">
            <w:pPr>
              <w:jc w:val="left"/>
            </w:pPr>
            <w:r>
              <w:t>0</w:t>
            </w:r>
          </w:p>
        </w:tc>
        <w:tc>
          <w:tcPr>
            <w:tcW w:w="1661" w:type="dxa"/>
            <w:vAlign w:val="center"/>
          </w:tcPr>
          <w:p w14:paraId="2C7E1FCF">
            <w:pPr>
              <w:jc w:val="left"/>
            </w:pPr>
            <w:r>
              <w:t>复苏早期，政策强支撑</w:t>
            </w:r>
          </w:p>
        </w:tc>
      </w:tr>
    </w:tbl>
    <w:p w14:paraId="5DC79033">
      <w:pPr>
        <w:pBdr>
          <w:bottom w:val="single" w:color="auto" w:sz="8" w:space="0"/>
        </w:pBdr>
      </w:pPr>
    </w:p>
    <w:p w14:paraId="007EBFDC">
      <w:pPr>
        <w:pStyle w:val="6"/>
      </w:pPr>
      <w:r>
        <w:t>Layer 2.5：枢纽变量分析</w:t>
      </w:r>
    </w:p>
    <w:p w14:paraId="18A48387">
      <w:pPr>
        <w:pStyle w:val="4"/>
      </w:pPr>
      <w:r>
        <w:rPr>
          <w:b/>
        </w:rPr>
        <w:t>USD/CNH方向得分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183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ACAADE0">
            <w:pPr>
              <w:jc w:val="left"/>
            </w:pPr>
            <w:r>
              <w:t>子维度</w:t>
            </w:r>
          </w:p>
        </w:tc>
        <w:tc>
          <w:tcPr>
            <w:tcW w:w="2768" w:type="dxa"/>
            <w:vAlign w:val="center"/>
          </w:tcPr>
          <w:p w14:paraId="1B129B5C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1F80B38A">
            <w:pPr>
              <w:jc w:val="left"/>
            </w:pPr>
            <w:r>
              <w:t>得分</w:t>
            </w:r>
          </w:p>
        </w:tc>
      </w:tr>
      <w:tr w14:paraId="79255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0126C3A">
            <w:pPr>
              <w:jc w:val="left"/>
            </w:pPr>
            <w:r>
              <w:t>利差（10Y）</w:t>
            </w:r>
          </w:p>
        </w:tc>
        <w:tc>
          <w:tcPr>
            <w:tcW w:w="2768" w:type="dxa"/>
            <w:vAlign w:val="center"/>
          </w:tcPr>
          <w:p w14:paraId="72568B7A">
            <w:pPr>
              <w:jc w:val="left"/>
            </w:pPr>
            <w:r>
              <w:t>美4.30% vs 中2.48%，+182bp</w:t>
            </w:r>
          </w:p>
        </w:tc>
        <w:tc>
          <w:tcPr>
            <w:tcW w:w="2768" w:type="dxa"/>
            <w:vAlign w:val="center"/>
          </w:tcPr>
          <w:p w14:paraId="07F4A2B1">
            <w:pPr>
              <w:jc w:val="left"/>
            </w:pPr>
            <w:r>
              <w:t>+1（利差偏美）</w:t>
            </w:r>
          </w:p>
        </w:tc>
      </w:tr>
      <w:tr w14:paraId="5BB6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65F435B">
            <w:pPr>
              <w:jc w:val="left"/>
            </w:pPr>
            <w:r>
              <w:t>增长差</w:t>
            </w:r>
          </w:p>
        </w:tc>
        <w:tc>
          <w:tcPr>
            <w:tcW w:w="2768" w:type="dxa"/>
            <w:vAlign w:val="center"/>
          </w:tcPr>
          <w:p w14:paraId="75AA7784">
            <w:pPr>
              <w:jc w:val="left"/>
            </w:pPr>
            <w:r>
              <w:t>美↓中↑</w:t>
            </w:r>
          </w:p>
        </w:tc>
        <w:tc>
          <w:tcPr>
            <w:tcW w:w="2768" w:type="dxa"/>
            <w:vAlign w:val="center"/>
          </w:tcPr>
          <w:p w14:paraId="3656C78E">
            <w:pPr>
              <w:jc w:val="left"/>
            </w:pPr>
            <w:r>
              <w:t>-1（增长差偏中）</w:t>
            </w:r>
          </w:p>
        </w:tc>
      </w:tr>
      <w:tr w14:paraId="65F7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9F67684">
            <w:pPr>
              <w:jc w:val="left"/>
            </w:pPr>
            <w:r>
              <w:t>资本流动</w:t>
            </w:r>
          </w:p>
        </w:tc>
        <w:tc>
          <w:tcPr>
            <w:tcW w:w="2768" w:type="dxa"/>
            <w:vAlign w:val="center"/>
          </w:tcPr>
          <w:p w14:paraId="38AF6494">
            <w:pPr>
              <w:jc w:val="left"/>
            </w:pPr>
            <w:r>
              <w:t>北向+1260亿</w:t>
            </w:r>
          </w:p>
        </w:tc>
        <w:tc>
          <w:tcPr>
            <w:tcW w:w="2768" w:type="dxa"/>
            <w:vAlign w:val="center"/>
          </w:tcPr>
          <w:p w14:paraId="4A9AFDE9">
            <w:pPr>
              <w:jc w:val="left"/>
            </w:pPr>
            <w:r>
              <w:t>-1（资本流入中国）</w:t>
            </w:r>
          </w:p>
        </w:tc>
      </w:tr>
      <w:tr w14:paraId="65B2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2E67FD9">
            <w:pPr>
              <w:jc w:val="left"/>
            </w:pPr>
            <w:r>
              <w:t>政策差</w:t>
            </w:r>
          </w:p>
        </w:tc>
        <w:tc>
          <w:tcPr>
            <w:tcW w:w="2768" w:type="dxa"/>
            <w:vAlign w:val="center"/>
          </w:tcPr>
          <w:p w14:paraId="500A4E39">
            <w:pPr>
              <w:jc w:val="left"/>
            </w:pPr>
            <w:r>
              <w:t>美中性 vs 中偏松</w:t>
            </w:r>
          </w:p>
        </w:tc>
        <w:tc>
          <w:tcPr>
            <w:tcW w:w="2768" w:type="dxa"/>
            <w:vAlign w:val="center"/>
          </w:tcPr>
          <w:p w14:paraId="670CE4C6">
            <w:pPr>
              <w:jc w:val="left"/>
            </w:pPr>
            <w:r>
              <w:t>0（均不紧缩）</w:t>
            </w:r>
          </w:p>
        </w:tc>
      </w:tr>
      <w:tr w14:paraId="2D78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A000017">
            <w:pPr>
              <w:jc w:val="left"/>
            </w:pPr>
            <w:r>
              <w:t>情绪差</w:t>
            </w:r>
          </w:p>
        </w:tc>
        <w:tc>
          <w:tcPr>
            <w:tcW w:w="2768" w:type="dxa"/>
            <w:vAlign w:val="center"/>
          </w:tcPr>
          <w:p w14:paraId="75F94341">
            <w:pPr>
              <w:jc w:val="left"/>
            </w:pPr>
            <w:r>
              <w:t>花旗意外美正 vs 中正</w:t>
            </w:r>
          </w:p>
        </w:tc>
        <w:tc>
          <w:tcPr>
            <w:tcW w:w="2768" w:type="dxa"/>
            <w:vAlign w:val="center"/>
          </w:tcPr>
          <w:p w14:paraId="5BF64AF4">
            <w:pPr>
              <w:jc w:val="left"/>
            </w:pPr>
            <w:r>
              <w:t>0</w:t>
            </w:r>
          </w:p>
        </w:tc>
      </w:tr>
      <w:tr w14:paraId="3378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6BA18EB">
            <w:pPr>
              <w:jc w:val="left"/>
            </w:pPr>
            <w:r>
              <w:rPr>
                <w:b/>
              </w:rPr>
              <w:t>方向得分</w:t>
            </w:r>
          </w:p>
        </w:tc>
        <w:tc>
          <w:tcPr>
            <w:tcW w:w="2768" w:type="dxa"/>
            <w:vAlign w:val="center"/>
          </w:tcPr>
          <w:p w14:paraId="5CE40E07">
            <w:pPr>
              <w:jc w:val="left"/>
            </w:pPr>
            <w:r>
              <w:t>—</w:t>
            </w:r>
          </w:p>
        </w:tc>
        <w:tc>
          <w:tcPr>
            <w:tcW w:w="2768" w:type="dxa"/>
            <w:vAlign w:val="center"/>
          </w:tcPr>
          <w:p w14:paraId="3C2F9FC8">
            <w:pPr>
              <w:jc w:val="left"/>
            </w:pPr>
            <w:r>
              <w:rPr>
                <w:b/>
              </w:rPr>
              <w:t>-1（CNH小幅偏强）</w:t>
            </w:r>
          </w:p>
        </w:tc>
      </w:tr>
    </w:tbl>
    <w:p w14:paraId="259669A0">
      <w:pPr>
        <w:pStyle w:val="12"/>
      </w:pPr>
      <w:r>
        <w:t>得分含义：正值偏美元强，负值偏人民币强；-1为弱偏强</w:t>
      </w:r>
    </w:p>
    <w:p w14:paraId="272D0892">
      <w:pPr>
        <w:pStyle w:val="4"/>
      </w:pPr>
      <w:r>
        <w:rPr>
          <w:b/>
        </w:rPr>
        <w:t>6个商品比值信号（示意）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63B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08A6A83">
            <w:pPr>
              <w:jc w:val="left"/>
            </w:pPr>
            <w:r>
              <w:t>比值</w:t>
            </w:r>
          </w:p>
        </w:tc>
        <w:tc>
          <w:tcPr>
            <w:tcW w:w="2768" w:type="dxa"/>
            <w:vAlign w:val="center"/>
          </w:tcPr>
          <w:p w14:paraId="01B35754">
            <w:pPr>
              <w:jc w:val="left"/>
            </w:pPr>
            <w:r>
              <w:t>数值趋势</w:t>
            </w:r>
          </w:p>
        </w:tc>
        <w:tc>
          <w:tcPr>
            <w:tcW w:w="2768" w:type="dxa"/>
            <w:vAlign w:val="center"/>
          </w:tcPr>
          <w:p w14:paraId="67375FB5">
            <w:pPr>
              <w:jc w:val="left"/>
            </w:pPr>
            <w:r>
              <w:t>信号</w:t>
            </w:r>
          </w:p>
        </w:tc>
      </w:tr>
      <w:tr w14:paraId="33EA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F6750D">
            <w:pPr>
              <w:jc w:val="left"/>
            </w:pPr>
            <w:r>
              <w:t>铜/金</w:t>
            </w:r>
          </w:p>
        </w:tc>
        <w:tc>
          <w:tcPr>
            <w:tcW w:w="2768" w:type="dxa"/>
            <w:vAlign w:val="center"/>
          </w:tcPr>
          <w:p w14:paraId="60BE8FDB">
            <w:pPr>
              <w:jc w:val="left"/>
            </w:pPr>
            <w:r>
              <w:t>震荡偏强</w:t>
            </w:r>
          </w:p>
        </w:tc>
        <w:tc>
          <w:tcPr>
            <w:tcW w:w="2768" w:type="dxa"/>
            <w:vAlign w:val="center"/>
          </w:tcPr>
          <w:p w14:paraId="5A17EEA1">
            <w:pPr>
              <w:jc w:val="left"/>
            </w:pPr>
            <w:r>
              <w:t>风险偏好边际改善</w:t>
            </w:r>
          </w:p>
        </w:tc>
      </w:tr>
      <w:tr w14:paraId="1D99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E790CD4">
            <w:pPr>
              <w:jc w:val="left"/>
            </w:pPr>
            <w:r>
              <w:t>油/金</w:t>
            </w:r>
          </w:p>
        </w:tc>
        <w:tc>
          <w:tcPr>
            <w:tcW w:w="2768" w:type="dxa"/>
            <w:vAlign w:val="center"/>
          </w:tcPr>
          <w:p w14:paraId="66A1F729">
            <w:pPr>
              <w:jc w:val="left"/>
            </w:pPr>
            <w:r>
              <w:t>上行（WTI↑）</w:t>
            </w:r>
          </w:p>
        </w:tc>
        <w:tc>
          <w:tcPr>
            <w:tcW w:w="2768" w:type="dxa"/>
            <w:vAlign w:val="center"/>
          </w:tcPr>
          <w:p w14:paraId="5E779F77">
            <w:pPr>
              <w:jc w:val="left"/>
            </w:pPr>
            <w:r>
              <w:t>通胀预期回升</w:t>
            </w:r>
          </w:p>
        </w:tc>
      </w:tr>
      <w:tr w14:paraId="4447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1D9C2A0">
            <w:pPr>
              <w:jc w:val="left"/>
            </w:pPr>
            <w:r>
              <w:t>铜/油</w:t>
            </w:r>
          </w:p>
        </w:tc>
        <w:tc>
          <w:tcPr>
            <w:tcW w:w="2768" w:type="dxa"/>
            <w:vAlign w:val="center"/>
          </w:tcPr>
          <w:p w14:paraId="776B5862">
            <w:pPr>
              <w:jc w:val="left"/>
            </w:pPr>
            <w:r>
              <w:t>震荡</w:t>
            </w:r>
          </w:p>
        </w:tc>
        <w:tc>
          <w:tcPr>
            <w:tcW w:w="2768" w:type="dxa"/>
            <w:vAlign w:val="center"/>
          </w:tcPr>
          <w:p w14:paraId="0B2409B4">
            <w:pPr>
              <w:jc w:val="left"/>
            </w:pPr>
            <w:r>
              <w:t>增长与通胀预期均衡</w:t>
            </w:r>
          </w:p>
        </w:tc>
      </w:tr>
      <w:tr w14:paraId="212C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7F371E5">
            <w:pPr>
              <w:jc w:val="left"/>
            </w:pPr>
            <w:r>
              <w:t>铁/金</w:t>
            </w:r>
          </w:p>
        </w:tc>
        <w:tc>
          <w:tcPr>
            <w:tcW w:w="2768" w:type="dxa"/>
            <w:vAlign w:val="center"/>
          </w:tcPr>
          <w:p w14:paraId="153D41FB">
            <w:pPr>
              <w:jc w:val="left"/>
            </w:pPr>
            <w:r>
              <w:t>回升</w:t>
            </w:r>
          </w:p>
        </w:tc>
        <w:tc>
          <w:tcPr>
            <w:tcW w:w="2768" w:type="dxa"/>
            <w:vAlign w:val="center"/>
          </w:tcPr>
          <w:p w14:paraId="364650DB">
            <w:pPr>
              <w:jc w:val="left"/>
            </w:pPr>
            <w:r>
              <w:t>中国地产链修复</w:t>
            </w:r>
          </w:p>
        </w:tc>
      </w:tr>
      <w:tr w14:paraId="7DAD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F1264E3">
            <w:pPr>
              <w:jc w:val="left"/>
            </w:pPr>
            <w:r>
              <w:t>农产品/工业品</w:t>
            </w:r>
          </w:p>
        </w:tc>
        <w:tc>
          <w:tcPr>
            <w:tcW w:w="2768" w:type="dxa"/>
            <w:vAlign w:val="center"/>
          </w:tcPr>
          <w:p w14:paraId="3D647BD6">
            <w:pPr>
              <w:jc w:val="left"/>
            </w:pPr>
            <w:r>
              <w:t>偏弱</w:t>
            </w:r>
          </w:p>
        </w:tc>
        <w:tc>
          <w:tcPr>
            <w:tcW w:w="2768" w:type="dxa"/>
            <w:vAlign w:val="center"/>
          </w:tcPr>
          <w:p w14:paraId="42BC2BFD">
            <w:pPr>
              <w:jc w:val="left"/>
            </w:pPr>
            <w:r>
              <w:t>需求端温和</w:t>
            </w:r>
          </w:p>
        </w:tc>
      </w:tr>
      <w:tr w14:paraId="0256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5F3FF6F">
            <w:pPr>
              <w:jc w:val="left"/>
            </w:pPr>
            <w:r>
              <w:t>CRB/美元</w:t>
            </w:r>
          </w:p>
        </w:tc>
        <w:tc>
          <w:tcPr>
            <w:tcW w:w="2768" w:type="dxa"/>
            <w:vAlign w:val="center"/>
          </w:tcPr>
          <w:p w14:paraId="32BCE59A">
            <w:pPr>
              <w:jc w:val="left"/>
            </w:pPr>
            <w:r>
              <w:t>震荡（CRB520 vs USD104.8）</w:t>
            </w:r>
          </w:p>
        </w:tc>
        <w:tc>
          <w:tcPr>
            <w:tcW w:w="2768" w:type="dxa"/>
            <w:vAlign w:val="center"/>
          </w:tcPr>
          <w:p w14:paraId="3F5F137A">
            <w:pPr>
              <w:jc w:val="left"/>
            </w:pPr>
            <w:r>
              <w:t>大宗未受强美元压制</w:t>
            </w:r>
          </w:p>
        </w:tc>
      </w:tr>
    </w:tbl>
    <w:p w14:paraId="6D631106">
      <w:pPr>
        <w:pStyle w:val="4"/>
      </w:pPr>
      <w:r>
        <w:rPr>
          <w:b/>
        </w:rPr>
        <w:t>全球宏观三角定位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08D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0888EE7">
            <w:pPr>
              <w:jc w:val="left"/>
            </w:pPr>
            <w:r>
              <w:t>三角维度</w:t>
            </w:r>
          </w:p>
        </w:tc>
        <w:tc>
          <w:tcPr>
            <w:tcW w:w="2768" w:type="dxa"/>
            <w:vAlign w:val="center"/>
          </w:tcPr>
          <w:p w14:paraId="5D7E2C10">
            <w:pPr>
              <w:jc w:val="left"/>
            </w:pPr>
            <w:r>
              <w:t>状态</w:t>
            </w:r>
          </w:p>
        </w:tc>
        <w:tc>
          <w:tcPr>
            <w:tcW w:w="2768" w:type="dxa"/>
            <w:vAlign w:val="center"/>
          </w:tcPr>
          <w:p w14:paraId="31A42781">
            <w:pPr>
              <w:jc w:val="left"/>
            </w:pPr>
            <w:r>
              <w:t>说明</w:t>
            </w:r>
          </w:p>
        </w:tc>
      </w:tr>
      <w:tr w14:paraId="0C48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BBF9EB6">
            <w:pPr>
              <w:jc w:val="left"/>
            </w:pPr>
            <w:r>
              <w:t>商品-汇率</w:t>
            </w:r>
          </w:p>
        </w:tc>
        <w:tc>
          <w:tcPr>
            <w:tcW w:w="2768" w:type="dxa"/>
            <w:vAlign w:val="center"/>
          </w:tcPr>
          <w:p w14:paraId="0789C9FA">
            <w:pPr>
              <w:jc w:val="left"/>
            </w:pPr>
            <w:r>
              <w:t>大宗中性+CNH稳</w:t>
            </w:r>
          </w:p>
        </w:tc>
        <w:tc>
          <w:tcPr>
            <w:tcW w:w="2768" w:type="dxa"/>
            <w:vAlign w:val="center"/>
          </w:tcPr>
          <w:p w14:paraId="49FC2C71">
            <w:pPr>
              <w:jc w:val="left"/>
            </w:pPr>
            <w:r>
              <w:t>无强通胀冲击</w:t>
            </w:r>
          </w:p>
        </w:tc>
      </w:tr>
      <w:tr w14:paraId="52E0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0FD0439">
            <w:pPr>
              <w:jc w:val="left"/>
            </w:pPr>
            <w:r>
              <w:t>汇率-利率</w:t>
            </w:r>
          </w:p>
        </w:tc>
        <w:tc>
          <w:tcPr>
            <w:tcW w:w="2768" w:type="dxa"/>
            <w:vAlign w:val="center"/>
          </w:tcPr>
          <w:p w14:paraId="0EAECF09">
            <w:pPr>
              <w:jc w:val="left"/>
            </w:pPr>
            <w:r>
              <w:t>CNH稳+中美利差高位</w:t>
            </w:r>
          </w:p>
        </w:tc>
        <w:tc>
          <w:tcPr>
            <w:tcW w:w="2768" w:type="dxa"/>
            <w:vAlign w:val="center"/>
          </w:tcPr>
          <w:p w14:paraId="1244192B">
            <w:pPr>
              <w:jc w:val="left"/>
            </w:pPr>
            <w:r>
              <w:t>利差支撑美元但增长差支撑人民币</w:t>
            </w:r>
          </w:p>
        </w:tc>
      </w:tr>
      <w:tr w14:paraId="3F15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F020715">
            <w:pPr>
              <w:jc w:val="left"/>
            </w:pPr>
            <w:r>
              <w:t>利率-商品</w:t>
            </w:r>
          </w:p>
        </w:tc>
        <w:tc>
          <w:tcPr>
            <w:tcW w:w="2768" w:type="dxa"/>
            <w:vAlign w:val="center"/>
          </w:tcPr>
          <w:p w14:paraId="32E5CB07">
            <w:pPr>
              <w:jc w:val="left"/>
            </w:pPr>
            <w:r>
              <w:t>美债上行+大宗震荡</w:t>
            </w:r>
          </w:p>
        </w:tc>
        <w:tc>
          <w:tcPr>
            <w:tcW w:w="2768" w:type="dxa"/>
            <w:vAlign w:val="center"/>
          </w:tcPr>
          <w:p w14:paraId="3413A749">
            <w:pPr>
              <w:jc w:val="left"/>
            </w:pPr>
            <w:r>
              <w:t>增长预期分化</w:t>
            </w:r>
          </w:p>
        </w:tc>
      </w:tr>
    </w:tbl>
    <w:p w14:paraId="709A15ED">
      <w:pPr>
        <w:pStyle w:val="4"/>
      </w:pPr>
      <w:r>
        <w:rPr>
          <w:b/>
        </w:rPr>
        <w:t>三角综合判定</w:t>
      </w:r>
      <w:r>
        <w:t>：弱均衡——三大枢纽变量均无极端偏离，汇率稳、大宗中性、利率分化但可控，不构成强方向信号。</w:t>
      </w:r>
    </w:p>
    <w:p w14:paraId="71AFAFE2">
      <w:pPr>
        <w:pBdr>
          <w:bottom w:val="single" w:color="auto" w:sz="8" w:space="0"/>
        </w:pBdr>
      </w:pPr>
    </w:p>
    <w:p w14:paraId="0BDD19DE">
      <w:pPr>
        <w:pStyle w:val="6"/>
      </w:pPr>
      <w:r>
        <w:t>Layer 3：市场定价提取</w:t>
      </w:r>
    </w:p>
    <w:p w14:paraId="4E8D02BE">
      <w:pPr>
        <w:pStyle w:val="4"/>
      </w:pPr>
      <w:r>
        <w:rPr>
          <w:b/>
        </w:rPr>
        <w:t>5类市场定价指标中美对照表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94F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1B9A21E">
            <w:pPr>
              <w:jc w:val="left"/>
            </w:pPr>
            <w:r>
              <w:t>定价类别</w:t>
            </w:r>
          </w:p>
        </w:tc>
        <w:tc>
          <w:tcPr>
            <w:tcW w:w="1661" w:type="dxa"/>
            <w:vAlign w:val="center"/>
          </w:tcPr>
          <w:p w14:paraId="756C66C7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02055790">
            <w:pPr>
              <w:jc w:val="left"/>
            </w:pPr>
            <w:r>
              <w:t>美国定价</w:t>
            </w:r>
          </w:p>
        </w:tc>
        <w:tc>
          <w:tcPr>
            <w:tcW w:w="1661" w:type="dxa"/>
            <w:vAlign w:val="center"/>
          </w:tcPr>
          <w:p w14:paraId="411D95EB">
            <w:pPr>
              <w:jc w:val="left"/>
            </w:pPr>
            <w:r>
              <w:t>中国定价</w:t>
            </w:r>
          </w:p>
        </w:tc>
        <w:tc>
          <w:tcPr>
            <w:tcW w:w="1661" w:type="dxa"/>
            <w:vAlign w:val="center"/>
          </w:tcPr>
          <w:p w14:paraId="4550591E">
            <w:pPr>
              <w:jc w:val="left"/>
            </w:pPr>
            <w:r>
              <w:t>定价偏差</w:t>
            </w:r>
          </w:p>
        </w:tc>
      </w:tr>
      <w:tr w14:paraId="6C73C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C886C46">
            <w:pPr>
              <w:jc w:val="left"/>
            </w:pPr>
            <w:r>
              <w:t>利率曲线</w:t>
            </w:r>
          </w:p>
        </w:tc>
        <w:tc>
          <w:tcPr>
            <w:tcW w:w="1661" w:type="dxa"/>
            <w:vAlign w:val="center"/>
          </w:tcPr>
          <w:p w14:paraId="5D1B2698">
            <w:pPr>
              <w:jc w:val="left"/>
            </w:pPr>
            <w:r>
              <w:t>10Y-2Y利差</w:t>
            </w:r>
          </w:p>
        </w:tc>
        <w:tc>
          <w:tcPr>
            <w:tcW w:w="1661" w:type="dxa"/>
            <w:vAlign w:val="center"/>
          </w:tcPr>
          <w:p w14:paraId="7CC581DD">
            <w:pPr>
              <w:jc w:val="left"/>
            </w:pPr>
            <w:r>
              <w:t>+30bp（浅倒挂修复）</w:t>
            </w:r>
          </w:p>
        </w:tc>
        <w:tc>
          <w:tcPr>
            <w:tcW w:w="1661" w:type="dxa"/>
            <w:vAlign w:val="center"/>
          </w:tcPr>
          <w:p w14:paraId="7F66BE61">
            <w:pPr>
              <w:jc w:val="left"/>
            </w:pPr>
            <w:r>
              <w:t>10Y 2.48%↓（牛市陡峭）</w:t>
            </w:r>
          </w:p>
        </w:tc>
        <w:tc>
          <w:tcPr>
            <w:tcW w:w="1661" w:type="dxa"/>
            <w:vAlign w:val="center"/>
          </w:tcPr>
          <w:p w14:paraId="271F52B7">
            <w:pPr>
              <w:jc w:val="left"/>
            </w:pPr>
            <w:r>
              <w:t>美定价衰退修复，中定价宽松延续</w:t>
            </w:r>
          </w:p>
        </w:tc>
      </w:tr>
      <w:tr w14:paraId="7C49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ED47475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463F279F">
            <w:pPr>
              <w:jc w:val="left"/>
            </w:pPr>
            <w:r>
              <w:t>IG/高收益</w:t>
            </w:r>
          </w:p>
        </w:tc>
        <w:tc>
          <w:tcPr>
            <w:tcW w:w="1661" w:type="dxa"/>
            <w:vAlign w:val="center"/>
          </w:tcPr>
          <w:p w14:paraId="5CAC30F2">
            <w:pPr>
              <w:jc w:val="left"/>
            </w:pPr>
            <w:r>
              <w:t>温和（VIX 16.8）</w:t>
            </w:r>
          </w:p>
        </w:tc>
        <w:tc>
          <w:tcPr>
            <w:tcW w:w="1661" w:type="dxa"/>
            <w:vAlign w:val="center"/>
          </w:tcPr>
          <w:p w14:paraId="113DB755">
            <w:pPr>
              <w:jc w:val="left"/>
            </w:pPr>
            <w:r>
              <w:t>温和（融资融券↑）</w:t>
            </w:r>
          </w:p>
        </w:tc>
        <w:tc>
          <w:tcPr>
            <w:tcW w:w="1661" w:type="dxa"/>
            <w:vAlign w:val="center"/>
          </w:tcPr>
          <w:p w14:paraId="72CE6FCE">
            <w:pPr>
              <w:jc w:val="left"/>
            </w:pPr>
            <w:r>
              <w:t>双方均未定价信用风险</w:t>
            </w:r>
          </w:p>
        </w:tc>
      </w:tr>
      <w:tr w14:paraId="7D3D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DAAEB0B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283F3371">
            <w:pPr>
              <w:jc w:val="left"/>
            </w:pPr>
            <w:r>
              <w:t>前瞻PE</w:t>
            </w:r>
          </w:p>
        </w:tc>
        <w:tc>
          <w:tcPr>
            <w:tcW w:w="1661" w:type="dxa"/>
            <w:vAlign w:val="center"/>
          </w:tcPr>
          <w:p w14:paraId="5210C85D">
            <w:pPr>
              <w:jc w:val="left"/>
            </w:pPr>
            <w:r>
              <w:t>20x（偏贵）</w:t>
            </w:r>
          </w:p>
        </w:tc>
        <w:tc>
          <w:tcPr>
            <w:tcW w:w="1661" w:type="dxa"/>
            <w:vAlign w:val="center"/>
          </w:tcPr>
          <w:p w14:paraId="2062ED4D">
            <w:pPr>
              <w:jc w:val="left"/>
            </w:pPr>
            <w:r>
              <w:t>12x（合理偏低）</w:t>
            </w:r>
          </w:p>
        </w:tc>
        <w:tc>
          <w:tcPr>
            <w:tcW w:w="1661" w:type="dxa"/>
            <w:vAlign w:val="center"/>
          </w:tcPr>
          <w:p w14:paraId="2DE3844B">
            <w:pPr>
              <w:jc w:val="left"/>
            </w:pPr>
            <w:r>
              <w:t>美估值偏高，中估值具安全边际</w:t>
            </w:r>
          </w:p>
        </w:tc>
      </w:tr>
      <w:tr w14:paraId="323C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85D1C01">
            <w:pPr>
              <w:jc w:val="left"/>
            </w:pPr>
            <w:r>
              <w:t>波动率</w:t>
            </w:r>
          </w:p>
        </w:tc>
        <w:tc>
          <w:tcPr>
            <w:tcW w:w="1661" w:type="dxa"/>
            <w:vAlign w:val="center"/>
          </w:tcPr>
          <w:p w14:paraId="658EB4F2">
            <w:pPr>
              <w:jc w:val="left"/>
            </w:pPr>
            <w:r>
              <w:t>VIX/期权</w:t>
            </w:r>
          </w:p>
        </w:tc>
        <w:tc>
          <w:tcPr>
            <w:tcW w:w="1661" w:type="dxa"/>
            <w:vAlign w:val="center"/>
          </w:tcPr>
          <w:p w14:paraId="7ABBA9A6">
            <w:pPr>
              <w:jc w:val="left"/>
            </w:pPr>
            <w:r>
              <w:t>VIX 16.8（低波动）</w:t>
            </w:r>
          </w:p>
        </w:tc>
        <w:tc>
          <w:tcPr>
            <w:tcW w:w="1661" w:type="dxa"/>
            <w:vAlign w:val="center"/>
          </w:tcPr>
          <w:p w14:paraId="0B7ACE6C">
            <w:pPr>
              <w:jc w:val="left"/>
            </w:pPr>
            <w:r>
              <w:t>P/C正常区间</w:t>
            </w:r>
          </w:p>
        </w:tc>
        <w:tc>
          <w:tcPr>
            <w:tcW w:w="1661" w:type="dxa"/>
            <w:vAlign w:val="center"/>
          </w:tcPr>
          <w:p w14:paraId="54F91573">
            <w:pPr>
              <w:jc w:val="left"/>
            </w:pPr>
            <w:r>
              <w:t>双方均未定价尾部风险</w:t>
            </w:r>
          </w:p>
        </w:tc>
      </w:tr>
      <w:tr w14:paraId="5707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07A52A">
            <w:pPr>
              <w:jc w:val="left"/>
            </w:pPr>
            <w:r>
              <w:t>通胀预期</w:t>
            </w:r>
          </w:p>
        </w:tc>
        <w:tc>
          <w:tcPr>
            <w:tcW w:w="1661" w:type="dxa"/>
            <w:vAlign w:val="center"/>
          </w:tcPr>
          <w:p w14:paraId="4E1162D9">
            <w:pPr>
              <w:jc w:val="left"/>
            </w:pPr>
            <w:r>
              <w:t>盈亏平衡</w:t>
            </w:r>
          </w:p>
        </w:tc>
        <w:tc>
          <w:tcPr>
            <w:tcW w:w="1661" w:type="dxa"/>
            <w:vAlign w:val="center"/>
          </w:tcPr>
          <w:p w14:paraId="29A83281">
            <w:pPr>
              <w:jc w:val="left"/>
            </w:pPr>
            <w:r>
              <w:t>2.3%（温和）</w:t>
            </w:r>
          </w:p>
        </w:tc>
        <w:tc>
          <w:tcPr>
            <w:tcW w:w="1661" w:type="dxa"/>
            <w:vAlign w:val="center"/>
          </w:tcPr>
          <w:p w14:paraId="03345CC6">
            <w:pPr>
              <w:jc w:val="left"/>
            </w:pPr>
            <w:r>
              <w:t>核心CPI 0.9%（偏低）</w:t>
            </w:r>
          </w:p>
        </w:tc>
        <w:tc>
          <w:tcPr>
            <w:tcW w:w="1661" w:type="dxa"/>
            <w:vAlign w:val="center"/>
          </w:tcPr>
          <w:p w14:paraId="6987646F">
            <w:pPr>
              <w:jc w:val="left"/>
            </w:pPr>
            <w:r>
              <w:t>美定价温和通胀，中仍定价通缩</w:t>
            </w:r>
          </w:p>
        </w:tc>
      </w:tr>
    </w:tbl>
    <w:p w14:paraId="1C5E8723">
      <w:pPr>
        <w:pStyle w:val="4"/>
      </w:pPr>
      <w:r>
        <w:rPr>
          <w:b/>
        </w:rPr>
        <w:t>定价偏差汇总</w:t>
      </w:r>
      <w:r>
        <w:t>：美国市场定价"软着陆+通胀黏性"，中国市场定价"复苏早期+通缩残余"。美国权益偏贵，中国权益合理偏低——隐含中国资产存在上行预期差空间。</w:t>
      </w:r>
    </w:p>
    <w:p w14:paraId="6CE47D5C">
      <w:pPr>
        <w:pBdr>
          <w:bottom w:val="single" w:color="auto" w:sz="8" w:space="0"/>
        </w:pBdr>
      </w:pPr>
    </w:p>
    <w:p w14:paraId="1EEB6221">
      <w:pPr>
        <w:pStyle w:val="6"/>
      </w:pPr>
      <w:r>
        <w:t>Layer 4：预期差信号引擎</w:t>
      </w:r>
    </w:p>
    <w:p w14:paraId="494F7AC9">
      <w:pPr>
        <w:pStyle w:val="4"/>
      </w:pPr>
      <w:r>
        <w:rPr>
          <w:b/>
        </w:rPr>
        <w:t>三类预期差信号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B30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59F4B6E">
            <w:pPr>
              <w:jc w:val="left"/>
            </w:pPr>
            <w:r>
              <w:t>信号类型</w:t>
            </w:r>
          </w:p>
        </w:tc>
        <w:tc>
          <w:tcPr>
            <w:tcW w:w="1661" w:type="dxa"/>
            <w:vAlign w:val="center"/>
          </w:tcPr>
          <w:p w14:paraId="4B6E13E0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2E8BE49D">
            <w:pPr>
              <w:jc w:val="left"/>
            </w:pPr>
            <w:r>
              <w:t>强度</w:t>
            </w:r>
          </w:p>
        </w:tc>
        <w:tc>
          <w:tcPr>
            <w:tcW w:w="1661" w:type="dxa"/>
            <w:vAlign w:val="center"/>
          </w:tcPr>
          <w:p w14:paraId="24C4A5E0">
            <w:pPr>
              <w:jc w:val="left"/>
            </w:pPr>
            <w:r>
              <w:t>边际变化</w:t>
            </w:r>
          </w:p>
        </w:tc>
        <w:tc>
          <w:tcPr>
            <w:tcW w:w="1661" w:type="dxa"/>
            <w:vAlign w:val="center"/>
          </w:tcPr>
          <w:p w14:paraId="423375E3">
            <w:pPr>
              <w:jc w:val="left"/>
            </w:pPr>
            <w:r>
              <w:t>信号源</w:t>
            </w:r>
          </w:p>
        </w:tc>
      </w:tr>
      <w:tr w14:paraId="160A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6DC4F2B">
            <w:pPr>
              <w:jc w:val="left"/>
            </w:pPr>
            <w:r>
              <w:rPr>
                <w:b/>
              </w:rPr>
              <w:t>A类：增长预期差</w:t>
            </w:r>
          </w:p>
        </w:tc>
        <w:tc>
          <w:tcPr>
            <w:tcW w:w="1661" w:type="dxa"/>
            <w:vAlign w:val="center"/>
          </w:tcPr>
          <w:p w14:paraId="23EB6508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2C621DCE">
            <w:pPr>
              <w:jc w:val="left"/>
            </w:pPr>
            <w:r>
              <w:t>中等（+2）</w:t>
            </w:r>
          </w:p>
        </w:tc>
        <w:tc>
          <w:tcPr>
            <w:tcW w:w="1661" w:type="dxa"/>
            <w:vAlign w:val="center"/>
          </w:tcPr>
          <w:p w14:paraId="399DF534">
            <w:pPr>
              <w:jc w:val="left"/>
            </w:pPr>
            <w:r>
              <w:t>↑边际走阔</w:t>
            </w:r>
          </w:p>
        </w:tc>
        <w:tc>
          <w:tcPr>
            <w:tcW w:w="1661" w:type="dxa"/>
            <w:vAlign w:val="center"/>
          </w:tcPr>
          <w:p w14:paraId="505287DD">
            <w:pPr>
              <w:jc w:val="left"/>
            </w:pPr>
            <w:r>
              <w:t>PMI超50+社融连升+高频用电↑ vs 市场定价温和</w:t>
            </w:r>
          </w:p>
        </w:tc>
      </w:tr>
      <w:tr w14:paraId="216C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0CCB483">
            <w:pPr>
              <w:jc w:val="left"/>
            </w:pPr>
            <w:r>
              <w:rPr>
                <w:b/>
              </w:rPr>
              <w:t>B类：政策预期差</w:t>
            </w:r>
          </w:p>
        </w:tc>
        <w:tc>
          <w:tcPr>
            <w:tcW w:w="1661" w:type="dxa"/>
            <w:vAlign w:val="center"/>
          </w:tcPr>
          <w:p w14:paraId="499B3156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43C41A97">
            <w:pPr>
              <w:jc w:val="left"/>
            </w:pPr>
            <w:r>
              <w:t>弱（+1）</w:t>
            </w:r>
          </w:p>
        </w:tc>
        <w:tc>
          <w:tcPr>
            <w:tcW w:w="1661" w:type="dxa"/>
            <w:vAlign w:val="center"/>
          </w:tcPr>
          <w:p w14:paraId="093A7F5B">
            <w:pPr>
              <w:jc w:val="left"/>
            </w:pPr>
            <w:r>
              <w:t>→稳定</w:t>
            </w:r>
          </w:p>
        </w:tc>
        <w:tc>
          <w:tcPr>
            <w:tcW w:w="1661" w:type="dxa"/>
            <w:vAlign w:val="center"/>
          </w:tcPr>
          <w:p w14:paraId="7D76685B">
            <w:pPr>
              <w:jc w:val="left"/>
            </w:pPr>
            <w:r>
              <w:t>DR007&lt;政策利率+政策维度+2.5 vs 市场已部分定价</w:t>
            </w:r>
          </w:p>
        </w:tc>
      </w:tr>
      <w:tr w14:paraId="483B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90D136C">
            <w:pPr>
              <w:jc w:val="left"/>
            </w:pPr>
            <w:r>
              <w:rPr>
                <w:b/>
              </w:rPr>
              <w:t>C类：估值/情绪预期差</w:t>
            </w:r>
          </w:p>
        </w:tc>
        <w:tc>
          <w:tcPr>
            <w:tcW w:w="1661" w:type="dxa"/>
            <w:vAlign w:val="center"/>
          </w:tcPr>
          <w:p w14:paraId="032B8A9A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3D30FB8A">
            <w:pPr>
              <w:jc w:val="left"/>
            </w:pPr>
            <w:r>
              <w:t>中等（+2）</w:t>
            </w:r>
          </w:p>
        </w:tc>
        <w:tc>
          <w:tcPr>
            <w:tcW w:w="1661" w:type="dxa"/>
            <w:vAlign w:val="center"/>
          </w:tcPr>
          <w:p w14:paraId="0A36EA88">
            <w:pPr>
              <w:jc w:val="left"/>
            </w:pPr>
            <w:r>
              <w:t>↑边际走阔</w:t>
            </w:r>
          </w:p>
        </w:tc>
        <w:tc>
          <w:tcPr>
            <w:tcW w:w="1661" w:type="dxa"/>
            <w:vAlign w:val="center"/>
          </w:tcPr>
          <w:p w14:paraId="670FCB78">
            <w:pPr>
              <w:jc w:val="left"/>
            </w:pPr>
            <w:r>
              <w:t>12x PE vs 增长改善+北向大幅流入+花旗意外正</w:t>
            </w:r>
          </w:p>
        </w:tc>
      </w:tr>
    </w:tbl>
    <w:p w14:paraId="6897EDAA">
      <w:pPr>
        <w:pStyle w:val="4"/>
      </w:pPr>
      <w:r>
        <w:rPr>
          <w:b/>
        </w:rPr>
        <w:t>信号源汇总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18A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4D7CC34">
            <w:pPr>
              <w:jc w:val="left"/>
            </w:pPr>
            <w:r>
              <w:t>信号源</w:t>
            </w:r>
          </w:p>
        </w:tc>
        <w:tc>
          <w:tcPr>
            <w:tcW w:w="2076" w:type="dxa"/>
            <w:vAlign w:val="center"/>
          </w:tcPr>
          <w:p w14:paraId="552F6776">
            <w:pPr>
              <w:jc w:val="left"/>
            </w:pPr>
            <w:r>
              <w:t>类型</w:t>
            </w:r>
          </w:p>
        </w:tc>
        <w:tc>
          <w:tcPr>
            <w:tcW w:w="2076" w:type="dxa"/>
            <w:vAlign w:val="center"/>
          </w:tcPr>
          <w:p w14:paraId="22771FA5">
            <w:pPr>
              <w:jc w:val="left"/>
            </w:pPr>
            <w:r>
              <w:t>方向</w:t>
            </w:r>
          </w:p>
        </w:tc>
        <w:tc>
          <w:tcPr>
            <w:tcW w:w="2076" w:type="dxa"/>
            <w:vAlign w:val="center"/>
          </w:tcPr>
          <w:p w14:paraId="12887479">
            <w:pPr>
              <w:jc w:val="left"/>
            </w:pPr>
            <w:r>
              <w:t>可信度</w:t>
            </w:r>
          </w:p>
        </w:tc>
      </w:tr>
      <w:tr w14:paraId="1B4E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91553E">
            <w:pPr>
              <w:jc w:val="left"/>
            </w:pPr>
            <w:r>
              <w:t>花旗美国意外指数&gt;+0.5σ</w:t>
            </w:r>
          </w:p>
        </w:tc>
        <w:tc>
          <w:tcPr>
            <w:tcW w:w="2076" w:type="dxa"/>
            <w:vAlign w:val="center"/>
          </w:tcPr>
          <w:p w14:paraId="1F9C4C20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26EFBD2E">
            <w:pPr>
              <w:jc w:val="left"/>
            </w:pPr>
            <w:r>
              <w:t>美数据超预期但增长放缓</w:t>
            </w:r>
          </w:p>
        </w:tc>
        <w:tc>
          <w:tcPr>
            <w:tcW w:w="2076" w:type="dxa"/>
            <w:vAlign w:val="center"/>
          </w:tcPr>
          <w:p w14:paraId="0AF10929">
            <w:pPr>
              <w:jc w:val="left"/>
            </w:pPr>
            <w:r>
              <w:t>中</w:t>
            </w:r>
          </w:p>
        </w:tc>
      </w:tr>
      <w:tr w14:paraId="3F38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8892C77">
            <w:pPr>
              <w:jc w:val="left"/>
            </w:pPr>
            <w:r>
              <w:t>花旗中国意外指数正</w:t>
            </w:r>
          </w:p>
        </w:tc>
        <w:tc>
          <w:tcPr>
            <w:tcW w:w="2076" w:type="dxa"/>
            <w:vAlign w:val="center"/>
          </w:tcPr>
          <w:p w14:paraId="31D4E722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7615A864">
            <w:pPr>
              <w:jc w:val="left"/>
            </w:pPr>
            <w:r>
              <w:t>中国数据超预期</w:t>
            </w:r>
          </w:p>
        </w:tc>
        <w:tc>
          <w:tcPr>
            <w:tcW w:w="2076" w:type="dxa"/>
            <w:vAlign w:val="center"/>
          </w:tcPr>
          <w:p w14:paraId="1888F30D">
            <w:pPr>
              <w:jc w:val="left"/>
            </w:pPr>
            <w:r>
              <w:t>中</w:t>
            </w:r>
          </w:p>
        </w:tc>
      </w:tr>
      <w:tr w14:paraId="46A5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0B7F4985">
            <w:pPr>
              <w:jc w:val="left"/>
            </w:pPr>
            <w:r>
              <w:t>社融9.7%连升3月</w:t>
            </w:r>
          </w:p>
        </w:tc>
        <w:tc>
          <w:tcPr>
            <w:tcW w:w="2076" w:type="dxa"/>
            <w:vAlign w:val="center"/>
          </w:tcPr>
          <w:p w14:paraId="08F5B334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02A4664C">
            <w:pPr>
              <w:jc w:val="left"/>
            </w:pPr>
            <w:r>
              <w:t>信用扩张确认</w:t>
            </w:r>
          </w:p>
        </w:tc>
        <w:tc>
          <w:tcPr>
            <w:tcW w:w="2076" w:type="dxa"/>
            <w:vAlign w:val="center"/>
          </w:tcPr>
          <w:p w14:paraId="727F14FF">
            <w:pPr>
              <w:jc w:val="left"/>
            </w:pPr>
            <w:r>
              <w:t>高</w:t>
            </w:r>
          </w:p>
        </w:tc>
      </w:tr>
      <w:tr w14:paraId="5E53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7FE22A">
            <w:pPr>
              <w:jc w:val="left"/>
            </w:pPr>
            <w:r>
              <w:t>企业中长贷10.8%↑</w:t>
            </w:r>
          </w:p>
        </w:tc>
        <w:tc>
          <w:tcPr>
            <w:tcW w:w="2076" w:type="dxa"/>
            <w:vAlign w:val="center"/>
          </w:tcPr>
          <w:p w14:paraId="2AE82D08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2D0CC610">
            <w:pPr>
              <w:jc w:val="left"/>
            </w:pPr>
            <w:r>
              <w:t>实体融资需求恢复</w:t>
            </w:r>
          </w:p>
        </w:tc>
        <w:tc>
          <w:tcPr>
            <w:tcW w:w="2076" w:type="dxa"/>
            <w:vAlign w:val="center"/>
          </w:tcPr>
          <w:p w14:paraId="4A1DFF92">
            <w:pPr>
              <w:jc w:val="left"/>
            </w:pPr>
            <w:r>
              <w:t>高</w:t>
            </w:r>
          </w:p>
        </w:tc>
      </w:tr>
      <w:tr w14:paraId="27B8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C263391">
            <w:pPr>
              <w:jc w:val="left"/>
            </w:pPr>
            <w:r>
              <w:t>北向+1260亿</w:t>
            </w:r>
          </w:p>
        </w:tc>
        <w:tc>
          <w:tcPr>
            <w:tcW w:w="2076" w:type="dxa"/>
            <w:vAlign w:val="center"/>
          </w:tcPr>
          <w:p w14:paraId="76B93F70">
            <w:pPr>
              <w:jc w:val="left"/>
            </w:pPr>
            <w:r>
              <w:t>C类</w:t>
            </w:r>
          </w:p>
        </w:tc>
        <w:tc>
          <w:tcPr>
            <w:tcW w:w="2076" w:type="dxa"/>
            <w:vAlign w:val="center"/>
          </w:tcPr>
          <w:p w14:paraId="12BC661A">
            <w:pPr>
              <w:jc w:val="left"/>
            </w:pPr>
            <w:r>
              <w:t>外资看好中国</w:t>
            </w:r>
          </w:p>
        </w:tc>
        <w:tc>
          <w:tcPr>
            <w:tcW w:w="2076" w:type="dxa"/>
            <w:vAlign w:val="center"/>
          </w:tcPr>
          <w:p w14:paraId="5D7F6378">
            <w:pPr>
              <w:jc w:val="left"/>
            </w:pPr>
            <w:r>
              <w:t>中</w:t>
            </w:r>
          </w:p>
        </w:tc>
      </w:tr>
      <w:tr w14:paraId="13EB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E8EF9A">
            <w:pPr>
              <w:jc w:val="left"/>
            </w:pPr>
            <w:r>
              <w:t>核心CPI 0.9%</w:t>
            </w:r>
          </w:p>
        </w:tc>
        <w:tc>
          <w:tcPr>
            <w:tcW w:w="2076" w:type="dxa"/>
            <w:vAlign w:val="center"/>
          </w:tcPr>
          <w:p w14:paraId="1C74B9AC">
            <w:pPr>
              <w:jc w:val="left"/>
            </w:pPr>
            <w:r>
              <w:t>B类</w:t>
            </w:r>
          </w:p>
        </w:tc>
        <w:tc>
          <w:tcPr>
            <w:tcW w:w="2076" w:type="dxa"/>
            <w:vAlign w:val="center"/>
          </w:tcPr>
          <w:p w14:paraId="3A9D39A5">
            <w:pPr>
              <w:jc w:val="left"/>
            </w:pPr>
            <w:r>
              <w:t>通胀温和未触发收紧</w:t>
            </w:r>
          </w:p>
        </w:tc>
        <w:tc>
          <w:tcPr>
            <w:tcW w:w="2076" w:type="dxa"/>
            <w:vAlign w:val="center"/>
          </w:tcPr>
          <w:p w14:paraId="0BD59D05">
            <w:pPr>
              <w:jc w:val="left"/>
            </w:pPr>
            <w:r>
              <w:t>高</w:t>
            </w:r>
          </w:p>
        </w:tc>
      </w:tr>
      <w:tr w14:paraId="2707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BDA27F5">
            <w:pPr>
              <w:jc w:val="left"/>
            </w:pPr>
            <w:r>
              <w:t>30城销售企稳</w:t>
            </w:r>
          </w:p>
        </w:tc>
        <w:tc>
          <w:tcPr>
            <w:tcW w:w="2076" w:type="dxa"/>
            <w:vAlign w:val="center"/>
          </w:tcPr>
          <w:p w14:paraId="3D3DE517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142FB9BA">
            <w:pPr>
              <w:jc w:val="left"/>
            </w:pPr>
            <w:r>
              <w:t>地产链见底</w:t>
            </w:r>
          </w:p>
        </w:tc>
        <w:tc>
          <w:tcPr>
            <w:tcW w:w="2076" w:type="dxa"/>
            <w:vAlign w:val="center"/>
          </w:tcPr>
          <w:p w14:paraId="76D8BDF9">
            <w:pPr>
              <w:jc w:val="left"/>
            </w:pPr>
            <w:r>
              <w:t>中</w:t>
            </w:r>
          </w:p>
        </w:tc>
      </w:tr>
    </w:tbl>
    <w:p w14:paraId="4B021A09">
      <w:pPr>
        <w:pStyle w:val="4"/>
      </w:pPr>
      <w:r>
        <w:rPr>
          <w:b/>
        </w:rPr>
        <w:t>预期差综合得分</w:t>
      </w:r>
      <w:r>
        <w:t>：+5/9（偏多中国风险资产）</w:t>
      </w:r>
    </w:p>
    <w:p w14:paraId="031AA4E7">
      <w:pPr>
        <w:pBdr>
          <w:bottom w:val="single" w:color="auto" w:sz="8" w:space="0"/>
        </w:pBdr>
      </w:pPr>
    </w:p>
    <w:p w14:paraId="679E6EF6">
      <w:pPr>
        <w:pStyle w:val="6"/>
      </w:pPr>
      <w:r>
        <w:t>Layer 5：资产配置与权重输出</w:t>
      </w:r>
    </w:p>
    <w:p w14:paraId="009B4885">
      <w:pPr>
        <w:pStyle w:val="4"/>
      </w:pPr>
      <w:r>
        <w:rPr>
          <w:b/>
        </w:rPr>
        <w:t>Beta基准权重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76E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EE64B6B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58D4D3C7">
            <w:pPr>
              <w:jc w:val="left"/>
            </w:pPr>
            <w:r>
              <w:t>权重</w:t>
            </w:r>
          </w:p>
        </w:tc>
        <w:tc>
          <w:tcPr>
            <w:tcW w:w="2768" w:type="dxa"/>
            <w:vAlign w:val="center"/>
          </w:tcPr>
          <w:p w14:paraId="483A3A6C">
            <w:pPr>
              <w:jc w:val="left"/>
            </w:pPr>
            <w:r>
              <w:t>依据</w:t>
            </w:r>
          </w:p>
        </w:tc>
      </w:tr>
      <w:tr w14:paraId="0B5D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D37283B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384AD8E5">
            <w:pPr>
              <w:jc w:val="left"/>
            </w:pPr>
            <w:r>
              <w:t>35%</w:t>
            </w:r>
          </w:p>
        </w:tc>
        <w:tc>
          <w:tcPr>
            <w:tcW w:w="2768" w:type="dxa"/>
            <w:vAlign w:val="center"/>
          </w:tcPr>
          <w:p w14:paraId="3D58BAF6">
            <w:pPr>
              <w:jc w:val="left"/>
            </w:pPr>
            <w:r>
              <w:t>复苏早期+正预期差</w:t>
            </w:r>
          </w:p>
        </w:tc>
      </w:tr>
      <w:tr w14:paraId="062B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684C0DE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673AE72B">
            <w:pPr>
              <w:jc w:val="left"/>
            </w:pPr>
            <w:r>
              <w:t>20%</w:t>
            </w:r>
          </w:p>
        </w:tc>
        <w:tc>
          <w:tcPr>
            <w:tcW w:w="2768" w:type="dxa"/>
            <w:vAlign w:val="center"/>
          </w:tcPr>
          <w:p w14:paraId="3DD6EFA8">
            <w:pPr>
              <w:jc w:val="left"/>
            </w:pPr>
            <w:r>
              <w:t>流动性偏松+通缩残余</w:t>
            </w:r>
          </w:p>
        </w:tc>
      </w:tr>
      <w:tr w14:paraId="595A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C021D84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5B073B41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69210C1C">
            <w:pPr>
              <w:jc w:val="left"/>
            </w:pPr>
            <w:r>
              <w:t>衰退前期+估值偏贵</w:t>
            </w:r>
          </w:p>
        </w:tc>
      </w:tr>
      <w:tr w14:paraId="1420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146C973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5AC23508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58F792B4">
            <w:pPr>
              <w:jc w:val="left"/>
            </w:pPr>
            <w:r>
              <w:t>增长放缓+降息预期</w:t>
            </w:r>
          </w:p>
        </w:tc>
      </w:tr>
      <w:tr w14:paraId="09ED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E779F12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127BCBB2">
            <w:pPr>
              <w:jc w:val="left"/>
            </w:pPr>
            <w:r>
              <w:t>10%</w:t>
            </w:r>
          </w:p>
        </w:tc>
        <w:tc>
          <w:tcPr>
            <w:tcW w:w="2768" w:type="dxa"/>
            <w:vAlign w:val="center"/>
          </w:tcPr>
          <w:p w14:paraId="7CA0B40B">
            <w:pPr>
              <w:jc w:val="left"/>
            </w:pPr>
            <w:r>
              <w:t>CRB震荡+需求温和</w:t>
            </w:r>
          </w:p>
        </w:tc>
      </w:tr>
      <w:tr w14:paraId="52AA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8A220C5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02B736D8">
            <w:pPr>
              <w:jc w:val="left"/>
            </w:pPr>
            <w:r>
              <w:t>5%</w:t>
            </w:r>
          </w:p>
        </w:tc>
        <w:tc>
          <w:tcPr>
            <w:tcW w:w="2768" w:type="dxa"/>
            <w:vAlign w:val="center"/>
          </w:tcPr>
          <w:p w14:paraId="15E68BAB">
            <w:pPr>
              <w:jc w:val="left"/>
            </w:pPr>
            <w:r>
              <w:t>波动率低，机会成本小</w:t>
            </w:r>
          </w:p>
        </w:tc>
      </w:tr>
    </w:tbl>
    <w:p w14:paraId="2AC95234">
      <w:pPr>
        <w:pStyle w:val="4"/>
      </w:pPr>
      <w:r>
        <w:rPr>
          <w:b/>
        </w:rPr>
        <w:t>Alpha偏离调整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771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BF5B22C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50753E09">
            <w:pPr>
              <w:jc w:val="left"/>
            </w:pPr>
            <w:r>
              <w:t>Alpha偏离</w:t>
            </w:r>
          </w:p>
        </w:tc>
        <w:tc>
          <w:tcPr>
            <w:tcW w:w="2768" w:type="dxa"/>
            <w:vAlign w:val="center"/>
          </w:tcPr>
          <w:p w14:paraId="742ECED5">
            <w:pPr>
              <w:jc w:val="left"/>
            </w:pPr>
            <w:r>
              <w:t>原因</w:t>
            </w:r>
          </w:p>
        </w:tc>
      </w:tr>
      <w:tr w14:paraId="44F0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405F391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46410766">
            <w:pPr>
              <w:jc w:val="left"/>
            </w:pPr>
            <w:r>
              <w:t>+8%</w:t>
            </w:r>
          </w:p>
        </w:tc>
        <w:tc>
          <w:tcPr>
            <w:tcW w:w="2768" w:type="dxa"/>
            <w:vAlign w:val="center"/>
          </w:tcPr>
          <w:p w14:paraId="4C157C68">
            <w:pPr>
              <w:jc w:val="left"/>
            </w:pPr>
            <w:r>
              <w:t>A+B+C三类正预期差叠加</w:t>
            </w:r>
          </w:p>
        </w:tc>
      </w:tr>
      <w:tr w14:paraId="7CE1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812B185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4D1E72DB">
            <w:pPr>
              <w:jc w:val="left"/>
            </w:pPr>
            <w:r>
              <w:t>-3%</w:t>
            </w:r>
          </w:p>
        </w:tc>
        <w:tc>
          <w:tcPr>
            <w:tcW w:w="2768" w:type="dxa"/>
            <w:vAlign w:val="center"/>
          </w:tcPr>
          <w:p w14:paraId="26C96A48">
            <w:pPr>
              <w:jc w:val="left"/>
            </w:pPr>
            <w:r>
              <w:t>增长修复挤压长端</w:t>
            </w:r>
          </w:p>
        </w:tc>
      </w:tr>
      <w:tr w14:paraId="15B1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A9EA07A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67206790">
            <w:pPr>
              <w:jc w:val="left"/>
            </w:pPr>
            <w:r>
              <w:t>-5%</w:t>
            </w:r>
          </w:p>
        </w:tc>
        <w:tc>
          <w:tcPr>
            <w:tcW w:w="2768" w:type="dxa"/>
            <w:vAlign w:val="center"/>
          </w:tcPr>
          <w:p w14:paraId="02F6962C">
            <w:pPr>
              <w:jc w:val="left"/>
            </w:pPr>
            <w:r>
              <w:t>估值偏贵+周期定位偏弱</w:t>
            </w:r>
          </w:p>
        </w:tc>
      </w:tr>
      <w:tr w14:paraId="2BF0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D03DBC7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5B04B4F6">
            <w:pPr>
              <w:jc w:val="left"/>
            </w:pPr>
            <w:r>
              <w:t>+3%</w:t>
            </w:r>
          </w:p>
        </w:tc>
        <w:tc>
          <w:tcPr>
            <w:tcW w:w="2768" w:type="dxa"/>
            <w:vAlign w:val="center"/>
          </w:tcPr>
          <w:p w14:paraId="4F901B82">
            <w:pPr>
              <w:jc w:val="left"/>
            </w:pPr>
            <w:r>
              <w:t>衰退前期限价保护</w:t>
            </w:r>
          </w:p>
        </w:tc>
      </w:tr>
      <w:tr w14:paraId="1FB1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4D08849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37736F9C">
            <w:pPr>
              <w:jc w:val="left"/>
            </w:pPr>
            <w:r>
              <w:t>+2%</w:t>
            </w:r>
          </w:p>
        </w:tc>
        <w:tc>
          <w:tcPr>
            <w:tcW w:w="2768" w:type="dxa"/>
            <w:vAlign w:val="center"/>
          </w:tcPr>
          <w:p w14:paraId="369EAABC">
            <w:pPr>
              <w:jc w:val="left"/>
            </w:pPr>
            <w:r>
              <w:t>铁/金回升+中国需求修复</w:t>
            </w:r>
          </w:p>
        </w:tc>
      </w:tr>
      <w:tr w14:paraId="6EA2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F20EB63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29B557CC">
            <w:pPr>
              <w:jc w:val="left"/>
            </w:pPr>
            <w:r>
              <w:t>-5%</w:t>
            </w:r>
          </w:p>
        </w:tc>
        <w:tc>
          <w:tcPr>
            <w:tcW w:w="2768" w:type="dxa"/>
            <w:vAlign w:val="center"/>
          </w:tcPr>
          <w:p w14:paraId="120071F8">
            <w:pPr>
              <w:jc w:val="left"/>
            </w:pPr>
            <w:r>
              <w:t>正预期差环境减配现金</w:t>
            </w:r>
          </w:p>
        </w:tc>
      </w:tr>
    </w:tbl>
    <w:p w14:paraId="6DE8178A">
      <w:pPr>
        <w:pStyle w:val="4"/>
      </w:pPr>
      <w:r>
        <w:rPr>
          <w:b/>
        </w:rPr>
        <w:t>最终权重表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C66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469F588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51A07191">
            <w:pPr>
              <w:jc w:val="left"/>
            </w:pPr>
            <w:r>
              <w:t>Beta</w:t>
            </w:r>
          </w:p>
        </w:tc>
        <w:tc>
          <w:tcPr>
            <w:tcW w:w="2076" w:type="dxa"/>
            <w:vAlign w:val="center"/>
          </w:tcPr>
          <w:p w14:paraId="0DD070F2">
            <w:pPr>
              <w:jc w:val="left"/>
            </w:pPr>
            <w:r>
              <w:t>Alpha</w:t>
            </w:r>
          </w:p>
        </w:tc>
        <w:tc>
          <w:tcPr>
            <w:tcW w:w="2076" w:type="dxa"/>
            <w:vAlign w:val="center"/>
          </w:tcPr>
          <w:p w14:paraId="0391C827">
            <w:pPr>
              <w:jc w:val="left"/>
            </w:pPr>
            <w:r>
              <w:t>最终权重</w:t>
            </w:r>
          </w:p>
        </w:tc>
      </w:tr>
      <w:tr w14:paraId="5020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ED4B20A">
            <w:pPr>
              <w:jc w:val="left"/>
            </w:pPr>
            <w:r>
              <w:t>中国权益</w:t>
            </w:r>
          </w:p>
        </w:tc>
        <w:tc>
          <w:tcPr>
            <w:tcW w:w="2076" w:type="dxa"/>
            <w:vAlign w:val="center"/>
          </w:tcPr>
          <w:p w14:paraId="242C6356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1C983945">
            <w:pPr>
              <w:jc w:val="left"/>
            </w:pPr>
            <w:r>
              <w:t>+8%</w:t>
            </w:r>
          </w:p>
        </w:tc>
        <w:tc>
          <w:tcPr>
            <w:tcW w:w="2076" w:type="dxa"/>
            <w:vAlign w:val="center"/>
          </w:tcPr>
          <w:p w14:paraId="15F31BA9">
            <w:pPr>
              <w:jc w:val="left"/>
            </w:pPr>
            <w:r>
              <w:rPr>
                <w:b/>
              </w:rPr>
              <w:t>43%</w:t>
            </w:r>
          </w:p>
        </w:tc>
      </w:tr>
      <w:tr w14:paraId="7372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42AE5B6">
            <w:pPr>
              <w:jc w:val="left"/>
            </w:pPr>
            <w:r>
              <w:t>中国债券</w:t>
            </w:r>
          </w:p>
        </w:tc>
        <w:tc>
          <w:tcPr>
            <w:tcW w:w="2076" w:type="dxa"/>
            <w:vAlign w:val="center"/>
          </w:tcPr>
          <w:p w14:paraId="63AE2CCF">
            <w:pPr>
              <w:jc w:val="left"/>
            </w:pPr>
            <w:r>
              <w:t>20%</w:t>
            </w:r>
          </w:p>
        </w:tc>
        <w:tc>
          <w:tcPr>
            <w:tcW w:w="2076" w:type="dxa"/>
            <w:vAlign w:val="center"/>
          </w:tcPr>
          <w:p w14:paraId="68F9AAFC">
            <w:pPr>
              <w:jc w:val="left"/>
            </w:pPr>
            <w:r>
              <w:t>-3%</w:t>
            </w:r>
          </w:p>
        </w:tc>
        <w:tc>
          <w:tcPr>
            <w:tcW w:w="2076" w:type="dxa"/>
            <w:vAlign w:val="center"/>
          </w:tcPr>
          <w:p w14:paraId="681CA397">
            <w:pPr>
              <w:jc w:val="left"/>
            </w:pPr>
            <w:r>
              <w:rPr>
                <w:b/>
              </w:rPr>
              <w:t>17%</w:t>
            </w:r>
          </w:p>
        </w:tc>
      </w:tr>
      <w:tr w14:paraId="14D5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EE1BC32">
            <w:pPr>
              <w:jc w:val="left"/>
            </w:pPr>
            <w:r>
              <w:t>美国权益</w:t>
            </w:r>
          </w:p>
        </w:tc>
        <w:tc>
          <w:tcPr>
            <w:tcW w:w="2076" w:type="dxa"/>
            <w:vAlign w:val="center"/>
          </w:tcPr>
          <w:p w14:paraId="030FEEA2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46785D02">
            <w:pPr>
              <w:jc w:val="left"/>
            </w:pPr>
            <w:r>
              <w:t>-5%</w:t>
            </w:r>
          </w:p>
        </w:tc>
        <w:tc>
          <w:tcPr>
            <w:tcW w:w="2076" w:type="dxa"/>
            <w:vAlign w:val="center"/>
          </w:tcPr>
          <w:p w14:paraId="473D9BFF">
            <w:pPr>
              <w:jc w:val="left"/>
            </w:pPr>
            <w:r>
              <w:rPr>
                <w:b/>
              </w:rPr>
              <w:t>10%</w:t>
            </w:r>
          </w:p>
        </w:tc>
      </w:tr>
      <w:tr w14:paraId="0EEE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3F4DD40">
            <w:pPr>
              <w:jc w:val="left"/>
            </w:pPr>
            <w:r>
              <w:t>美国债券</w:t>
            </w:r>
          </w:p>
        </w:tc>
        <w:tc>
          <w:tcPr>
            <w:tcW w:w="2076" w:type="dxa"/>
            <w:vAlign w:val="center"/>
          </w:tcPr>
          <w:p w14:paraId="40958066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42C7B065">
            <w:pPr>
              <w:jc w:val="left"/>
            </w:pPr>
            <w:r>
              <w:t>+3%</w:t>
            </w:r>
          </w:p>
        </w:tc>
        <w:tc>
          <w:tcPr>
            <w:tcW w:w="2076" w:type="dxa"/>
            <w:vAlign w:val="center"/>
          </w:tcPr>
          <w:p w14:paraId="50743D63">
            <w:pPr>
              <w:jc w:val="left"/>
            </w:pPr>
            <w:r>
              <w:rPr>
                <w:b/>
              </w:rPr>
              <w:t>18%</w:t>
            </w:r>
          </w:p>
        </w:tc>
      </w:tr>
      <w:tr w14:paraId="0FB5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28027E7">
            <w:pPr>
              <w:jc w:val="left"/>
            </w:pPr>
            <w:r>
              <w:t>大宗商品</w:t>
            </w:r>
          </w:p>
        </w:tc>
        <w:tc>
          <w:tcPr>
            <w:tcW w:w="2076" w:type="dxa"/>
            <w:vAlign w:val="center"/>
          </w:tcPr>
          <w:p w14:paraId="7B48EA7D">
            <w:pPr>
              <w:jc w:val="left"/>
            </w:pPr>
            <w:r>
              <w:t>10%</w:t>
            </w:r>
          </w:p>
        </w:tc>
        <w:tc>
          <w:tcPr>
            <w:tcW w:w="2076" w:type="dxa"/>
            <w:vAlign w:val="center"/>
          </w:tcPr>
          <w:p w14:paraId="75D1CA0A">
            <w:pPr>
              <w:jc w:val="left"/>
            </w:pPr>
            <w:r>
              <w:t>+2%</w:t>
            </w:r>
          </w:p>
        </w:tc>
        <w:tc>
          <w:tcPr>
            <w:tcW w:w="2076" w:type="dxa"/>
            <w:vAlign w:val="center"/>
          </w:tcPr>
          <w:p w14:paraId="79A7429F">
            <w:pPr>
              <w:jc w:val="left"/>
            </w:pPr>
            <w:r>
              <w:rPr>
                <w:b/>
              </w:rPr>
              <w:t>12%</w:t>
            </w:r>
          </w:p>
        </w:tc>
      </w:tr>
      <w:tr w14:paraId="4C45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A364680">
            <w:pPr>
              <w:jc w:val="left"/>
            </w:pPr>
            <w:r>
              <w:t>现金</w:t>
            </w:r>
          </w:p>
        </w:tc>
        <w:tc>
          <w:tcPr>
            <w:tcW w:w="2076" w:type="dxa"/>
            <w:vAlign w:val="center"/>
          </w:tcPr>
          <w:p w14:paraId="67E54172">
            <w:pPr>
              <w:jc w:val="left"/>
            </w:pPr>
            <w:r>
              <w:t>5%</w:t>
            </w:r>
          </w:p>
        </w:tc>
        <w:tc>
          <w:tcPr>
            <w:tcW w:w="2076" w:type="dxa"/>
            <w:vAlign w:val="center"/>
          </w:tcPr>
          <w:p w14:paraId="113A0F96">
            <w:pPr>
              <w:jc w:val="left"/>
            </w:pPr>
            <w:r>
              <w:t>-5%</w:t>
            </w:r>
          </w:p>
        </w:tc>
        <w:tc>
          <w:tcPr>
            <w:tcW w:w="2076" w:type="dxa"/>
            <w:vAlign w:val="center"/>
          </w:tcPr>
          <w:p w14:paraId="6ADD48E6">
            <w:pPr>
              <w:jc w:val="left"/>
            </w:pPr>
            <w:r>
              <w:rPr>
                <w:b/>
              </w:rPr>
              <w:t>0%</w:t>
            </w:r>
          </w:p>
        </w:tc>
      </w:tr>
      <w:tr w14:paraId="428C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25AF0BA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076" w:type="dxa"/>
            <w:vAlign w:val="center"/>
          </w:tcPr>
          <w:p w14:paraId="41C21738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2076" w:type="dxa"/>
            <w:vAlign w:val="center"/>
          </w:tcPr>
          <w:p w14:paraId="4E351CD4">
            <w:pPr>
              <w:jc w:val="left"/>
            </w:pPr>
            <w:r>
              <w:rPr>
                <w:b/>
              </w:rPr>
              <w:t>0</w:t>
            </w:r>
          </w:p>
        </w:tc>
        <w:tc>
          <w:tcPr>
            <w:tcW w:w="2076" w:type="dxa"/>
            <w:vAlign w:val="center"/>
          </w:tcPr>
          <w:p w14:paraId="29A091DB"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 w14:paraId="36D76C8D">
      <w:pPr>
        <w:pStyle w:val="4"/>
      </w:pPr>
      <w:r>
        <w:rPr>
          <w:b/>
        </w:rPr>
        <w:t>行业配置建议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4A4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739BC00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282C6CE3">
            <w:pPr>
              <w:jc w:val="left"/>
            </w:pPr>
            <w:r>
              <w:t>行业</w:t>
            </w:r>
          </w:p>
        </w:tc>
        <w:tc>
          <w:tcPr>
            <w:tcW w:w="2768" w:type="dxa"/>
            <w:vAlign w:val="center"/>
          </w:tcPr>
          <w:p w14:paraId="0536F488">
            <w:pPr>
              <w:jc w:val="left"/>
            </w:pPr>
            <w:r>
              <w:t>逻辑</w:t>
            </w:r>
          </w:p>
        </w:tc>
      </w:tr>
      <w:tr w14:paraId="3F88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D3AF3FB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16F47D59">
            <w:pPr>
              <w:jc w:val="left"/>
            </w:pPr>
            <w:r>
              <w:t>科技成长</w:t>
            </w:r>
          </w:p>
        </w:tc>
        <w:tc>
          <w:tcPr>
            <w:tcW w:w="2768" w:type="dxa"/>
            <w:vAlign w:val="center"/>
          </w:tcPr>
          <w:p w14:paraId="6D435611">
            <w:pPr>
              <w:jc w:val="left"/>
            </w:pPr>
            <w:r>
              <w:t>信用扩张+北向流入+估值修复</w:t>
            </w:r>
          </w:p>
        </w:tc>
      </w:tr>
      <w:tr w14:paraId="6E8C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67B745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0DCC54FD">
            <w:pPr>
              <w:jc w:val="left"/>
            </w:pPr>
            <w:r>
              <w:t>地产链（建材/家居）</w:t>
            </w:r>
          </w:p>
        </w:tc>
        <w:tc>
          <w:tcPr>
            <w:tcW w:w="2768" w:type="dxa"/>
            <w:vAlign w:val="center"/>
          </w:tcPr>
          <w:p w14:paraId="5C769597">
            <w:pPr>
              <w:jc w:val="left"/>
            </w:pPr>
            <w:r>
              <w:t>地产投资收窄+30城销售企稳+铁/金信号</w:t>
            </w:r>
          </w:p>
        </w:tc>
      </w:tr>
      <w:tr w14:paraId="7C27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76BA8D2">
            <w:pPr>
              <w:jc w:val="left"/>
            </w:pPr>
            <w:r>
              <w:t>标配</w:t>
            </w:r>
          </w:p>
        </w:tc>
        <w:tc>
          <w:tcPr>
            <w:tcW w:w="2768" w:type="dxa"/>
            <w:vAlign w:val="center"/>
          </w:tcPr>
          <w:p w14:paraId="50D19DC3">
            <w:pPr>
              <w:jc w:val="left"/>
            </w:pPr>
            <w:r>
              <w:t>金融</w:t>
            </w:r>
          </w:p>
        </w:tc>
        <w:tc>
          <w:tcPr>
            <w:tcW w:w="2768" w:type="dxa"/>
            <w:vAlign w:val="center"/>
          </w:tcPr>
          <w:p w14:paraId="1FB3D394">
            <w:pPr>
              <w:jc w:val="left"/>
            </w:pPr>
            <w:r>
              <w:t>社融扩张受益但息差承压</w:t>
            </w:r>
          </w:p>
        </w:tc>
      </w:tr>
      <w:tr w14:paraId="5F20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4A204F3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4E4F1040">
            <w:pPr>
              <w:jc w:val="left"/>
            </w:pPr>
            <w:r>
              <w:t>必选消费</w:t>
            </w:r>
          </w:p>
        </w:tc>
        <w:tc>
          <w:tcPr>
            <w:tcW w:w="2768" w:type="dxa"/>
            <w:vAlign w:val="center"/>
          </w:tcPr>
          <w:p w14:paraId="22359260">
            <w:pPr>
              <w:jc w:val="left"/>
            </w:pPr>
            <w:r>
              <w:t>核心CPI 0.9%通缩残余压制</w:t>
            </w:r>
          </w:p>
        </w:tc>
      </w:tr>
      <w:tr w14:paraId="5EC5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123979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04B186E0">
            <w:pPr>
              <w:jc w:val="left"/>
            </w:pPr>
            <w:r>
              <w:t>出口链</w:t>
            </w:r>
          </w:p>
        </w:tc>
        <w:tc>
          <w:tcPr>
            <w:tcW w:w="2768" w:type="dxa"/>
            <w:vAlign w:val="center"/>
          </w:tcPr>
          <w:p w14:paraId="4AE81B9F">
            <w:pPr>
              <w:jc w:val="left"/>
            </w:pPr>
            <w:r>
              <w:t>美国Ⅱ→Ⅲ过渡，外需承压</w:t>
            </w:r>
          </w:p>
        </w:tc>
      </w:tr>
    </w:tbl>
    <w:p w14:paraId="0FF0AE93">
      <w:pPr>
        <w:pStyle w:val="4"/>
      </w:pPr>
      <w:r>
        <w:rPr>
          <w:b/>
        </w:rPr>
        <w:t>风险预算校验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93B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74FC162">
            <w:pPr>
              <w:jc w:val="left"/>
            </w:pPr>
            <w:r>
              <w:t>风险维度</w:t>
            </w:r>
          </w:p>
        </w:tc>
        <w:tc>
          <w:tcPr>
            <w:tcW w:w="2076" w:type="dxa"/>
            <w:vAlign w:val="center"/>
          </w:tcPr>
          <w:p w14:paraId="7A39CA31">
            <w:pPr>
              <w:jc w:val="left"/>
            </w:pPr>
            <w:r>
              <w:t>预算限额</w:t>
            </w:r>
          </w:p>
        </w:tc>
        <w:tc>
          <w:tcPr>
            <w:tcW w:w="2076" w:type="dxa"/>
            <w:vAlign w:val="center"/>
          </w:tcPr>
          <w:p w14:paraId="466BD454">
            <w:pPr>
              <w:jc w:val="left"/>
            </w:pPr>
            <w:r>
              <w:t>实际敞口</w:t>
            </w:r>
          </w:p>
        </w:tc>
        <w:tc>
          <w:tcPr>
            <w:tcW w:w="2076" w:type="dxa"/>
            <w:vAlign w:val="center"/>
          </w:tcPr>
          <w:p w14:paraId="79A6CB65">
            <w:pPr>
              <w:jc w:val="left"/>
            </w:pPr>
            <w:r>
              <w:t>是否合规</w:t>
            </w:r>
          </w:p>
        </w:tc>
      </w:tr>
      <w:tr w14:paraId="63B7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16406DB">
            <w:pPr>
              <w:jc w:val="left"/>
            </w:pPr>
            <w:r>
              <w:t>中国权益集中度</w:t>
            </w:r>
          </w:p>
        </w:tc>
        <w:tc>
          <w:tcPr>
            <w:tcW w:w="2076" w:type="dxa"/>
            <w:vAlign w:val="center"/>
          </w:tcPr>
          <w:p w14:paraId="7328284D">
            <w:pPr>
              <w:jc w:val="left"/>
            </w:pPr>
            <w:r>
              <w:t>≤50%</w:t>
            </w:r>
          </w:p>
        </w:tc>
        <w:tc>
          <w:tcPr>
            <w:tcW w:w="2076" w:type="dxa"/>
            <w:vAlign w:val="center"/>
          </w:tcPr>
          <w:p w14:paraId="57108C5A">
            <w:pPr>
              <w:jc w:val="left"/>
            </w:pPr>
            <w:r>
              <w:t>43%</w:t>
            </w:r>
          </w:p>
        </w:tc>
        <w:tc>
          <w:tcPr>
            <w:tcW w:w="2076" w:type="dxa"/>
            <w:vAlign w:val="center"/>
          </w:tcPr>
          <w:p w14:paraId="4E8CF32B">
            <w:pPr>
              <w:jc w:val="left"/>
            </w:pPr>
            <w:r>
              <w:t>合规</w:t>
            </w:r>
          </w:p>
        </w:tc>
      </w:tr>
      <w:tr w14:paraId="6E87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2F41E08">
            <w:pPr>
              <w:jc w:val="left"/>
            </w:pPr>
            <w:r>
              <w:t>单一资产偏离</w:t>
            </w:r>
          </w:p>
        </w:tc>
        <w:tc>
          <w:tcPr>
            <w:tcW w:w="2076" w:type="dxa"/>
            <w:vAlign w:val="center"/>
          </w:tcPr>
          <w:p w14:paraId="099576C6">
            <w:pPr>
              <w:jc w:val="left"/>
            </w:pPr>
            <w:r>
              <w:t>≤10%</w:t>
            </w:r>
          </w:p>
        </w:tc>
        <w:tc>
          <w:tcPr>
            <w:tcW w:w="2076" w:type="dxa"/>
            <w:vAlign w:val="center"/>
          </w:tcPr>
          <w:p w14:paraId="05DB2DEE">
            <w:pPr>
              <w:jc w:val="left"/>
            </w:pPr>
            <w:r>
              <w:t>最大+8%</w:t>
            </w:r>
          </w:p>
        </w:tc>
        <w:tc>
          <w:tcPr>
            <w:tcW w:w="2076" w:type="dxa"/>
            <w:vAlign w:val="center"/>
          </w:tcPr>
          <w:p w14:paraId="3FA4C75A">
            <w:pPr>
              <w:jc w:val="left"/>
            </w:pPr>
            <w:r>
              <w:t>合规</w:t>
            </w:r>
          </w:p>
        </w:tc>
      </w:tr>
      <w:tr w14:paraId="3390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EBA0BE9">
            <w:pPr>
              <w:jc w:val="left"/>
            </w:pPr>
            <w:r>
              <w:t>尾部风险（VIX&gt;30）</w:t>
            </w:r>
          </w:p>
        </w:tc>
        <w:tc>
          <w:tcPr>
            <w:tcW w:w="2076" w:type="dxa"/>
            <w:vAlign w:val="center"/>
          </w:tcPr>
          <w:p w14:paraId="44CB98BE">
            <w:pPr>
              <w:jc w:val="left"/>
            </w:pPr>
            <w:r>
              <w:t>权益≤40%</w:t>
            </w:r>
          </w:p>
        </w:tc>
        <w:tc>
          <w:tcPr>
            <w:tcW w:w="2076" w:type="dxa"/>
            <w:vAlign w:val="center"/>
          </w:tcPr>
          <w:p w14:paraId="1FBBDD5A">
            <w:pPr>
              <w:jc w:val="left"/>
            </w:pPr>
            <w:r>
              <w:t>当前53%（中+美）</w:t>
            </w:r>
          </w:p>
        </w:tc>
        <w:tc>
          <w:tcPr>
            <w:tcW w:w="2076" w:type="dxa"/>
            <w:vAlign w:val="center"/>
          </w:tcPr>
          <w:p w14:paraId="4B4FE341">
            <w:pPr>
              <w:jc w:val="left"/>
            </w:pPr>
            <w:r>
              <w:t>需关注</w:t>
            </w:r>
          </w:p>
        </w:tc>
      </w:tr>
      <w:tr w14:paraId="619E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1AD637">
            <w:pPr>
              <w:jc w:val="left"/>
            </w:pPr>
            <w:r>
              <w:t>流动性缓冲</w:t>
            </w:r>
          </w:p>
        </w:tc>
        <w:tc>
          <w:tcPr>
            <w:tcW w:w="2076" w:type="dxa"/>
            <w:vAlign w:val="center"/>
          </w:tcPr>
          <w:p w14:paraId="19FA26BD">
            <w:pPr>
              <w:jc w:val="left"/>
            </w:pPr>
            <w:r>
              <w:t>现金+债券≥25%</w:t>
            </w:r>
          </w:p>
        </w:tc>
        <w:tc>
          <w:tcPr>
            <w:tcW w:w="2076" w:type="dxa"/>
            <w:vAlign w:val="center"/>
          </w:tcPr>
          <w:p w14:paraId="6E3010DC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05D5D28F">
            <w:pPr>
              <w:jc w:val="left"/>
            </w:pPr>
            <w:r>
              <w:t>合规</w:t>
            </w:r>
          </w:p>
        </w:tc>
      </w:tr>
    </w:tbl>
    <w:p w14:paraId="78C2EF6D">
      <w:pPr>
        <w:pStyle w:val="12"/>
      </w:pPr>
      <w:r>
        <w:t>尾部风险提示：中+美权益合计53%，超过40%上限。但当前VIX 16.8处于低位，未触发减仓条件。需设置VIX&gt;30时自动减权益至40%以内的应急规则。</w:t>
      </w:r>
    </w:p>
    <w:p w14:paraId="083C8014">
      <w:pPr>
        <w:pBdr>
          <w:bottom w:val="single" w:color="auto" w:sz="8" w:space="0"/>
        </w:pBdr>
      </w:pPr>
    </w:p>
    <w:p w14:paraId="1BE8D434">
      <w:pPr>
        <w:pStyle w:val="6"/>
      </w:pPr>
      <w:r>
        <w:t>案例2：2024年8月（拐点前瞻验证）</w:t>
      </w:r>
    </w:p>
    <w:p w14:paraId="13367A5C">
      <w:pPr>
        <w:pStyle w:val="6"/>
      </w:pPr>
      <w:r>
        <w:t>Layer 0：双经济体追踪与中美交互通道</w:t>
      </w:r>
    </w:p>
    <w:p w14:paraId="72F239BF">
      <w:pPr>
        <w:pStyle w:val="4"/>
      </w:pPr>
      <w:r>
        <w:rPr>
          <w:b/>
        </w:rPr>
        <w:t>中美5维度面板（示意）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B90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66DBEBD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19F4B8F4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8A80591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05B96DE6">
            <w:pPr>
              <w:jc w:val="left"/>
            </w:pPr>
            <w:r>
              <w:t>跨国差值</w:t>
            </w:r>
          </w:p>
        </w:tc>
        <w:tc>
          <w:tcPr>
            <w:tcW w:w="1661" w:type="dxa"/>
            <w:vAlign w:val="center"/>
          </w:tcPr>
          <w:p w14:paraId="42BB9EF3">
            <w:pPr>
              <w:jc w:val="left"/>
            </w:pPr>
            <w:r>
              <w:t>方向</w:t>
            </w:r>
          </w:p>
        </w:tc>
      </w:tr>
      <w:tr w14:paraId="03B4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0B8EB50">
            <w:pPr>
              <w:jc w:val="left"/>
            </w:pPr>
            <w:r>
              <w:t>增长动能</w:t>
            </w:r>
          </w:p>
        </w:tc>
        <w:tc>
          <w:tcPr>
            <w:tcW w:w="1661" w:type="dxa"/>
            <w:vAlign w:val="center"/>
          </w:tcPr>
          <w:p w14:paraId="2B4158B7">
            <w:pPr>
              <w:jc w:val="left"/>
            </w:pPr>
            <w:r>
              <w:t>PMI 47.2（连续5月&lt;50）</w:t>
            </w:r>
          </w:p>
        </w:tc>
        <w:tc>
          <w:tcPr>
            <w:tcW w:w="1661" w:type="dxa"/>
            <w:vAlign w:val="center"/>
          </w:tcPr>
          <w:p w14:paraId="24613CF9">
            <w:pPr>
              <w:jc w:val="left"/>
            </w:pPr>
            <w:r>
              <w:t>PMI 49.1（连续3月&lt;50）</w:t>
            </w:r>
          </w:p>
        </w:tc>
        <w:tc>
          <w:tcPr>
            <w:tcW w:w="1661" w:type="dxa"/>
            <w:vAlign w:val="center"/>
          </w:tcPr>
          <w:p w14:paraId="2955585B">
            <w:pPr>
              <w:jc w:val="left"/>
            </w:pPr>
            <w:r>
              <w:t>+1.9</w:t>
            </w:r>
          </w:p>
        </w:tc>
        <w:tc>
          <w:tcPr>
            <w:tcW w:w="1661" w:type="dxa"/>
            <w:vAlign w:val="center"/>
          </w:tcPr>
          <w:p w14:paraId="0F5BDBB7">
            <w:pPr>
              <w:jc w:val="left"/>
            </w:pPr>
            <w:r>
              <w:t>双弱但美更弱</w:t>
            </w:r>
          </w:p>
        </w:tc>
      </w:tr>
      <w:tr w14:paraId="1055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BAF93C7">
            <w:pPr>
              <w:jc w:val="left"/>
            </w:pPr>
            <w:r>
              <w:t>就业趋势</w:t>
            </w:r>
          </w:p>
        </w:tc>
        <w:tc>
          <w:tcPr>
            <w:tcW w:w="1661" w:type="dxa"/>
            <w:vAlign w:val="center"/>
          </w:tcPr>
          <w:p w14:paraId="500884CA">
            <w:pPr>
              <w:jc w:val="left"/>
            </w:pPr>
            <w:r>
              <w:t>非农1.8%↓ 失业率4.2%↑</w:t>
            </w:r>
          </w:p>
        </w:tc>
        <w:tc>
          <w:tcPr>
            <w:tcW w:w="1661" w:type="dxa"/>
            <w:vAlign w:val="center"/>
          </w:tcPr>
          <w:p w14:paraId="307AE800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BEF36AA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6323D70">
            <w:pPr>
              <w:jc w:val="left"/>
            </w:pPr>
            <w:r>
              <w:t>美就业加速走弱</w:t>
            </w:r>
          </w:p>
        </w:tc>
      </w:tr>
      <w:tr w14:paraId="2879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FA4119A">
            <w:pPr>
              <w:jc w:val="left"/>
            </w:pPr>
            <w:r>
              <w:t>通胀格局</w:t>
            </w:r>
          </w:p>
        </w:tc>
        <w:tc>
          <w:tcPr>
            <w:tcW w:w="1661" w:type="dxa"/>
            <w:vAlign w:val="center"/>
          </w:tcPr>
          <w:p w14:paraId="5C6A021A">
            <w:pPr>
              <w:jc w:val="left"/>
            </w:pPr>
            <w:r>
              <w:t>核心CPI中枢2.3%↓</w:t>
            </w:r>
          </w:p>
        </w:tc>
        <w:tc>
          <w:tcPr>
            <w:tcW w:w="1661" w:type="dxa"/>
            <w:vAlign w:val="center"/>
          </w:tcPr>
          <w:p w14:paraId="3270DCE9">
            <w:pPr>
              <w:jc w:val="left"/>
            </w:pPr>
            <w:r>
              <w:t>核心CPI 0.4%通缩压力</w:t>
            </w:r>
          </w:p>
        </w:tc>
        <w:tc>
          <w:tcPr>
            <w:tcW w:w="1661" w:type="dxa"/>
            <w:vAlign w:val="center"/>
          </w:tcPr>
          <w:p w14:paraId="631AD7D8">
            <w:pPr>
              <w:jc w:val="left"/>
            </w:pPr>
            <w:r>
              <w:t>-1.9pp</w:t>
            </w:r>
          </w:p>
        </w:tc>
        <w:tc>
          <w:tcPr>
            <w:tcW w:w="1661" w:type="dxa"/>
            <w:vAlign w:val="center"/>
          </w:tcPr>
          <w:p w14:paraId="65C3AA82">
            <w:pPr>
              <w:jc w:val="left"/>
            </w:pPr>
            <w:r>
              <w:t>通胀差收窄</w:t>
            </w:r>
          </w:p>
        </w:tc>
      </w:tr>
      <w:tr w14:paraId="5978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BB8E71">
            <w:pPr>
              <w:jc w:val="left"/>
            </w:pPr>
            <w:r>
              <w:t>货币政策</w:t>
            </w:r>
          </w:p>
        </w:tc>
        <w:tc>
          <w:tcPr>
            <w:tcW w:w="1661" w:type="dxa"/>
            <w:vAlign w:val="center"/>
          </w:tcPr>
          <w:p w14:paraId="43DE8645">
            <w:pPr>
              <w:jc w:val="left"/>
            </w:pPr>
            <w:r>
              <w:t>紧缩（5.25-5.50%）</w:t>
            </w:r>
          </w:p>
        </w:tc>
        <w:tc>
          <w:tcPr>
            <w:tcW w:w="1661" w:type="dxa"/>
            <w:vAlign w:val="center"/>
          </w:tcPr>
          <w:p w14:paraId="323592D9">
            <w:pPr>
              <w:jc w:val="left"/>
            </w:pPr>
            <w:r>
              <w:t>MLF/LPR持平</w:t>
            </w:r>
          </w:p>
        </w:tc>
        <w:tc>
          <w:tcPr>
            <w:tcW w:w="1661" w:type="dxa"/>
            <w:vAlign w:val="center"/>
          </w:tcPr>
          <w:p w14:paraId="629051F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6A75278">
            <w:pPr>
              <w:jc w:val="left"/>
            </w:pPr>
            <w:r>
              <w:t>美极度紧缩</w:t>
            </w:r>
          </w:p>
        </w:tc>
      </w:tr>
      <w:tr w14:paraId="023C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2AE362C">
            <w:pPr>
              <w:jc w:val="left"/>
            </w:pPr>
            <w:r>
              <w:t>金融条件</w:t>
            </w:r>
          </w:p>
        </w:tc>
        <w:tc>
          <w:tcPr>
            <w:tcW w:w="1661" w:type="dxa"/>
            <w:vAlign w:val="center"/>
          </w:tcPr>
          <w:p w14:paraId="522E6516">
            <w:pPr>
              <w:jc w:val="left"/>
            </w:pPr>
            <w:r>
              <w:t>FCI偏紧</w:t>
            </w:r>
          </w:p>
        </w:tc>
        <w:tc>
          <w:tcPr>
            <w:tcW w:w="1661" w:type="dxa"/>
            <w:vAlign w:val="center"/>
          </w:tcPr>
          <w:p w14:paraId="5F3E2CB2">
            <w:pPr>
              <w:jc w:val="left"/>
            </w:pPr>
            <w:r>
              <w:t>DR007&lt;政策利率但信用收缩</w:t>
            </w:r>
          </w:p>
        </w:tc>
        <w:tc>
          <w:tcPr>
            <w:tcW w:w="1661" w:type="dxa"/>
            <w:vAlign w:val="center"/>
          </w:tcPr>
          <w:p w14:paraId="63FEB93E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DD48A02">
            <w:pPr>
              <w:jc w:val="left"/>
            </w:pPr>
            <w:r>
              <w:t>美紧+中信用堵</w:t>
            </w:r>
          </w:p>
        </w:tc>
      </w:tr>
    </w:tbl>
    <w:p w14:paraId="049E6F3C">
      <w:pPr>
        <w:pStyle w:val="4"/>
      </w:pPr>
      <w:r>
        <w:rPr>
          <w:b/>
        </w:rPr>
        <w:t>6条通道触发状态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3A1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2092EDC">
            <w:pPr>
              <w:jc w:val="left"/>
            </w:pPr>
            <w:r>
              <w:t>通道</w:t>
            </w:r>
          </w:p>
        </w:tc>
        <w:tc>
          <w:tcPr>
            <w:tcW w:w="2768" w:type="dxa"/>
            <w:vAlign w:val="center"/>
          </w:tcPr>
          <w:p w14:paraId="670AF9E6">
            <w:pPr>
              <w:jc w:val="left"/>
            </w:pPr>
            <w:r>
              <w:t>触发状态</w:t>
            </w:r>
          </w:p>
        </w:tc>
        <w:tc>
          <w:tcPr>
            <w:tcW w:w="2768" w:type="dxa"/>
            <w:vAlign w:val="center"/>
          </w:tcPr>
          <w:p w14:paraId="4E0D9637">
            <w:pPr>
              <w:jc w:val="left"/>
            </w:pPr>
            <w:r>
              <w:t>信号</w:t>
            </w:r>
          </w:p>
        </w:tc>
      </w:tr>
      <w:tr w14:paraId="4142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775F2AF">
            <w:pPr>
              <w:jc w:val="left"/>
            </w:pPr>
            <w:r>
              <w:t>①贸易通道</w:t>
            </w:r>
          </w:p>
        </w:tc>
        <w:tc>
          <w:tcPr>
            <w:tcW w:w="2768" w:type="dxa"/>
            <w:vAlign w:val="center"/>
          </w:tcPr>
          <w:p w14:paraId="5C126140">
            <w:pPr>
              <w:jc w:val="left"/>
            </w:pPr>
            <w:r>
              <w:t>弱势</w:t>
            </w:r>
          </w:p>
        </w:tc>
        <w:tc>
          <w:tcPr>
            <w:tcW w:w="2768" w:type="dxa"/>
            <w:vAlign w:val="center"/>
          </w:tcPr>
          <w:p w14:paraId="7C0B9B1A">
            <w:pPr>
              <w:jc w:val="left"/>
            </w:pPr>
            <w:r>
              <w:t>COMEX 黄金 $2480↑，全球需求收缩</w:t>
            </w:r>
          </w:p>
        </w:tc>
      </w:tr>
      <w:tr w14:paraId="28B9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31F03D3">
            <w:pPr>
              <w:jc w:val="left"/>
            </w:pPr>
            <w:r>
              <w:t>②资本流动通道</w:t>
            </w:r>
          </w:p>
        </w:tc>
        <w:tc>
          <w:tcPr>
            <w:tcW w:w="2768" w:type="dxa"/>
            <w:vAlign w:val="center"/>
          </w:tcPr>
          <w:p w14:paraId="5971FA54">
            <w:pPr>
              <w:jc w:val="left"/>
            </w:pPr>
            <w:r>
              <w:t>流出中国</w:t>
            </w:r>
          </w:p>
        </w:tc>
        <w:tc>
          <w:tcPr>
            <w:tcW w:w="2768" w:type="dxa"/>
            <w:vAlign w:val="center"/>
          </w:tcPr>
          <w:p w14:paraId="0692109B">
            <w:pPr>
              <w:jc w:val="left"/>
            </w:pPr>
            <w:r>
              <w:t>北向-287亿，融资融券↓</w:t>
            </w:r>
          </w:p>
        </w:tc>
      </w:tr>
      <w:tr w14:paraId="53EC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ED668EE">
            <w:pPr>
              <w:jc w:val="left"/>
            </w:pPr>
            <w:r>
              <w:t>③汇率通道</w:t>
            </w:r>
          </w:p>
        </w:tc>
        <w:tc>
          <w:tcPr>
            <w:tcW w:w="2768" w:type="dxa"/>
            <w:vAlign w:val="center"/>
          </w:tcPr>
          <w:p w14:paraId="7ECC798B">
            <w:pPr>
              <w:jc w:val="left"/>
            </w:pPr>
            <w:r>
              <w:t>中性偏稳</w:t>
            </w:r>
          </w:p>
        </w:tc>
        <w:tc>
          <w:tcPr>
            <w:tcW w:w="2768" w:type="dxa"/>
            <w:vAlign w:val="center"/>
          </w:tcPr>
          <w:p w14:paraId="2B4FA4CC">
            <w:pPr>
              <w:jc w:val="left"/>
            </w:pPr>
            <w:r>
              <w:t>USD/CNH 7.16，波动0.6%</w:t>
            </w:r>
          </w:p>
        </w:tc>
      </w:tr>
      <w:tr w14:paraId="5AFC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2005FD8">
            <w:pPr>
              <w:jc w:val="left"/>
            </w:pPr>
            <w:r>
              <w:t>④政策外溢通道</w:t>
            </w:r>
          </w:p>
        </w:tc>
        <w:tc>
          <w:tcPr>
            <w:tcW w:w="2768" w:type="dxa"/>
            <w:vAlign w:val="center"/>
          </w:tcPr>
          <w:p w14:paraId="1C9F2E21">
            <w:pPr>
              <w:jc w:val="left"/>
            </w:pPr>
            <w:r>
              <w:t>高压</w:t>
            </w:r>
          </w:p>
        </w:tc>
        <w:tc>
          <w:tcPr>
            <w:tcW w:w="2768" w:type="dxa"/>
            <w:vAlign w:val="center"/>
          </w:tcPr>
          <w:p w14:paraId="109220CE">
            <w:pPr>
              <w:jc w:val="left"/>
            </w:pPr>
            <w:r>
              <w:t>美联储5.25-5.50%强紧缩外溢</w:t>
            </w:r>
          </w:p>
        </w:tc>
      </w:tr>
      <w:tr w14:paraId="7F77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61B244">
            <w:pPr>
              <w:jc w:val="left"/>
            </w:pPr>
            <w:r>
              <w:t>⑤情绪传染通道</w:t>
            </w:r>
          </w:p>
        </w:tc>
        <w:tc>
          <w:tcPr>
            <w:tcW w:w="2768" w:type="dxa"/>
            <w:vAlign w:val="center"/>
          </w:tcPr>
          <w:p w14:paraId="4215EDF0">
            <w:pPr>
              <w:jc w:val="left"/>
            </w:pPr>
            <w:r>
              <w:t>偏负面</w:t>
            </w:r>
          </w:p>
        </w:tc>
        <w:tc>
          <w:tcPr>
            <w:tcW w:w="2768" w:type="dxa"/>
            <w:vAlign w:val="center"/>
          </w:tcPr>
          <w:p w14:paraId="0DEA55A8">
            <w:pPr>
              <w:jc w:val="left"/>
            </w:pPr>
            <w:r>
              <w:t>花旗意外美-0.3σ+中-0.8σ</w:t>
            </w:r>
          </w:p>
        </w:tc>
      </w:tr>
      <w:tr w14:paraId="6BA9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BBE27BA">
            <w:pPr>
              <w:jc w:val="left"/>
            </w:pPr>
            <w:r>
              <w:t>⑥产业链通道</w:t>
            </w:r>
          </w:p>
        </w:tc>
        <w:tc>
          <w:tcPr>
            <w:tcW w:w="2768" w:type="dxa"/>
            <w:vAlign w:val="center"/>
          </w:tcPr>
          <w:p w14:paraId="363CF8F8">
            <w:pPr>
              <w:jc w:val="left"/>
            </w:pPr>
            <w:r>
              <w:t>萎缩</w:t>
            </w:r>
          </w:p>
        </w:tc>
        <w:tc>
          <w:tcPr>
            <w:tcW w:w="2768" w:type="dxa"/>
            <w:vAlign w:val="center"/>
          </w:tcPr>
          <w:p w14:paraId="05E8089B">
            <w:pPr>
              <w:jc w:val="left"/>
            </w:pPr>
            <w:r>
              <w:t>用电-2.1%↓，货运-1.5%↓</w:t>
            </w:r>
          </w:p>
        </w:tc>
      </w:tr>
    </w:tbl>
    <w:p w14:paraId="78011B36">
      <w:pPr>
        <w:pStyle w:val="4"/>
      </w:pPr>
      <w:r>
        <w:rPr>
          <w:b/>
        </w:rPr>
        <w:t>交互层次判定</w:t>
      </w:r>
      <w:r>
        <w:t>：强负相关——中美双弱但美国紧缩政策形成强外溢压制，资本流出中国，情绪极度悲观。政策外溢通道为关键压制变量，一旦美联储转向，多条通道将同步反转。</w:t>
      </w:r>
    </w:p>
    <w:p w14:paraId="1B7E57D2">
      <w:pPr>
        <w:pBdr>
          <w:bottom w:val="single" w:color="auto" w:sz="8" w:space="0"/>
        </w:pBdr>
      </w:pPr>
    </w:p>
    <w:p w14:paraId="7D3DCAD7">
      <w:pPr>
        <w:pStyle w:val="6"/>
      </w:pPr>
      <w:r>
        <w:t>Layer 1：状态识别——CAI/FCI合成指标</w:t>
      </w:r>
    </w:p>
    <w:p w14:paraId="5CCA2218">
      <w:pPr>
        <w:pStyle w:val="4"/>
      </w:pPr>
      <w:r>
        <w:rPr>
          <w:b/>
        </w:rPr>
        <w:t>CAI（周期活动指数）连续分数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40B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FC2B279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30C9E711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545257A1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10F81159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2DED9BA">
            <w:pPr>
              <w:jc w:val="left"/>
            </w:pPr>
            <w:r>
              <w:t>得分</w:t>
            </w:r>
          </w:p>
        </w:tc>
      </w:tr>
      <w:tr w14:paraId="6C98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D910A07">
            <w:pPr>
              <w:jc w:val="left"/>
            </w:pPr>
            <w:r>
              <w:t>PMI</w:t>
            </w:r>
          </w:p>
        </w:tc>
        <w:tc>
          <w:tcPr>
            <w:tcW w:w="1661" w:type="dxa"/>
            <w:vAlign w:val="center"/>
          </w:tcPr>
          <w:p w14:paraId="4D3AC06E">
            <w:pPr>
              <w:jc w:val="left"/>
            </w:pPr>
            <w:r>
              <w:t>47.2（连续5月&lt;50）</w:t>
            </w:r>
          </w:p>
        </w:tc>
        <w:tc>
          <w:tcPr>
            <w:tcW w:w="1661" w:type="dxa"/>
            <w:vAlign w:val="center"/>
          </w:tcPr>
          <w:p w14:paraId="301EF30B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3C4ADE34">
            <w:pPr>
              <w:jc w:val="left"/>
            </w:pPr>
            <w:r>
              <w:t>49.1（连续3月&lt;50）</w:t>
            </w:r>
          </w:p>
        </w:tc>
        <w:tc>
          <w:tcPr>
            <w:tcW w:w="1661" w:type="dxa"/>
            <w:vAlign w:val="center"/>
          </w:tcPr>
          <w:p w14:paraId="34B5C807">
            <w:pPr>
              <w:jc w:val="left"/>
            </w:pPr>
            <w:r>
              <w:t>3</w:t>
            </w:r>
          </w:p>
        </w:tc>
      </w:tr>
      <w:tr w14:paraId="4BE6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6F8DC08">
            <w:pPr>
              <w:jc w:val="left"/>
            </w:pPr>
            <w:r>
              <w:t>社融/信贷趋势</w:t>
            </w:r>
          </w:p>
        </w:tc>
        <w:tc>
          <w:tcPr>
            <w:tcW w:w="1661" w:type="dxa"/>
            <w:vAlign w:val="center"/>
          </w:tcPr>
          <w:p w14:paraId="4FFA435B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DCAF6C0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97F6138">
            <w:pPr>
              <w:jc w:val="left"/>
            </w:pPr>
            <w:r>
              <w:t>8.1%↓ 2月</w:t>
            </w:r>
          </w:p>
        </w:tc>
        <w:tc>
          <w:tcPr>
            <w:tcW w:w="1661" w:type="dxa"/>
            <w:vAlign w:val="center"/>
          </w:tcPr>
          <w:p w14:paraId="724980DD">
            <w:pPr>
              <w:jc w:val="left"/>
            </w:pPr>
            <w:r>
              <w:t>3</w:t>
            </w:r>
          </w:p>
        </w:tc>
      </w:tr>
      <w:tr w14:paraId="7DBA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B26E5A3">
            <w:pPr>
              <w:jc w:val="left"/>
            </w:pPr>
            <w:r>
              <w:t>就业/收入</w:t>
            </w:r>
          </w:p>
        </w:tc>
        <w:tc>
          <w:tcPr>
            <w:tcW w:w="1661" w:type="dxa"/>
            <w:vAlign w:val="center"/>
          </w:tcPr>
          <w:p w14:paraId="0E0851AE">
            <w:pPr>
              <w:jc w:val="left"/>
            </w:pPr>
            <w:r>
              <w:t>非农1.8%↓ 失业4.2%↑</w:t>
            </w:r>
          </w:p>
        </w:tc>
        <w:tc>
          <w:tcPr>
            <w:tcW w:w="1661" w:type="dxa"/>
            <w:vAlign w:val="center"/>
          </w:tcPr>
          <w:p w14:paraId="55C45DE5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05AFD92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A13ADB3">
            <w:pPr>
              <w:jc w:val="left"/>
            </w:pPr>
            <w:r>
              <w:t>—</w:t>
            </w:r>
          </w:p>
        </w:tc>
      </w:tr>
      <w:tr w14:paraId="49C0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E0EE05C">
            <w:pPr>
              <w:jc w:val="left"/>
            </w:pPr>
            <w:r>
              <w:t>消费/投资</w:t>
            </w:r>
          </w:p>
        </w:tc>
        <w:tc>
          <w:tcPr>
            <w:tcW w:w="1661" w:type="dxa"/>
            <w:vAlign w:val="center"/>
          </w:tcPr>
          <w:p w14:paraId="4CD15C29">
            <w:pPr>
              <w:jc w:val="left"/>
            </w:pPr>
            <w:r>
              <w:t>ISM新订单持续萎缩</w:t>
            </w:r>
          </w:p>
        </w:tc>
        <w:tc>
          <w:tcPr>
            <w:tcW w:w="1661" w:type="dxa"/>
            <w:vAlign w:val="center"/>
          </w:tcPr>
          <w:p w14:paraId="4D0BD3EC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68744DD0">
            <w:pPr>
              <w:jc w:val="left"/>
            </w:pPr>
            <w:r>
              <w:t>地产投资-10.2%↓</w:t>
            </w:r>
          </w:p>
        </w:tc>
        <w:tc>
          <w:tcPr>
            <w:tcW w:w="1661" w:type="dxa"/>
            <w:vAlign w:val="center"/>
          </w:tcPr>
          <w:p w14:paraId="3CA7AC6C">
            <w:pPr>
              <w:jc w:val="left"/>
            </w:pPr>
            <w:r>
              <w:t>2</w:t>
            </w:r>
          </w:p>
        </w:tc>
      </w:tr>
      <w:tr w14:paraId="7051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F88C919">
            <w:pPr>
              <w:jc w:val="left"/>
            </w:pPr>
            <w:r>
              <w:t>高频验证</w:t>
            </w:r>
          </w:p>
        </w:tc>
        <w:tc>
          <w:tcPr>
            <w:tcW w:w="1661" w:type="dxa"/>
            <w:vAlign w:val="center"/>
          </w:tcPr>
          <w:p w14:paraId="6CECEDC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0E5E6EC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1277D51">
            <w:pPr>
              <w:jc w:val="left"/>
            </w:pPr>
            <w:r>
              <w:t>用电-2.1%↓ 货运-1.5%↓</w:t>
            </w:r>
          </w:p>
        </w:tc>
        <w:tc>
          <w:tcPr>
            <w:tcW w:w="1661" w:type="dxa"/>
            <w:vAlign w:val="center"/>
          </w:tcPr>
          <w:p w14:paraId="79C51111">
            <w:pPr>
              <w:jc w:val="left"/>
            </w:pPr>
            <w:r>
              <w:t>2</w:t>
            </w:r>
          </w:p>
        </w:tc>
      </w:tr>
      <w:tr w14:paraId="7923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3A303F4">
            <w:pPr>
              <w:jc w:val="left"/>
            </w:pPr>
            <w:r>
              <w:rPr>
                <w:b/>
              </w:rPr>
              <w:t>CAI合计</w:t>
            </w:r>
          </w:p>
        </w:tc>
        <w:tc>
          <w:tcPr>
            <w:tcW w:w="1661" w:type="dxa"/>
            <w:vAlign w:val="center"/>
          </w:tcPr>
          <w:p w14:paraId="2AC4F99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93F9BD2">
            <w:pPr>
              <w:jc w:val="left"/>
            </w:pPr>
            <w:r>
              <w:rPr>
                <w:b/>
              </w:rPr>
              <w:t>2.0/10</w:t>
            </w:r>
          </w:p>
        </w:tc>
        <w:tc>
          <w:tcPr>
            <w:tcW w:w="1661" w:type="dxa"/>
            <w:vAlign w:val="center"/>
          </w:tcPr>
          <w:p w14:paraId="06698529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17F9713">
            <w:pPr>
              <w:jc w:val="left"/>
            </w:pPr>
            <w:r>
              <w:rPr>
                <w:b/>
              </w:rPr>
              <w:t>2.4/10</w:t>
            </w:r>
          </w:p>
        </w:tc>
      </w:tr>
    </w:tbl>
    <w:p w14:paraId="432B5CE0">
      <w:pPr>
        <w:pStyle w:val="4"/>
      </w:pPr>
      <w:r>
        <w:rPr>
          <w:b/>
        </w:rPr>
        <w:t>FCI（金融条件指数）连续分数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E7E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ED05B71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3288CA82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562C9A34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1D1EF4CA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B53E2A0">
            <w:pPr>
              <w:jc w:val="left"/>
            </w:pPr>
            <w:r>
              <w:t>得分</w:t>
            </w:r>
          </w:p>
        </w:tc>
      </w:tr>
      <w:tr w14:paraId="6A5A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CC5EB41">
            <w:pPr>
              <w:jc w:val="left"/>
            </w:pPr>
            <w:r>
              <w:t>短端利率/政策利率</w:t>
            </w:r>
          </w:p>
        </w:tc>
        <w:tc>
          <w:tcPr>
            <w:tcW w:w="1661" w:type="dxa"/>
            <w:vAlign w:val="center"/>
          </w:tcPr>
          <w:p w14:paraId="595EAA35">
            <w:pPr>
              <w:jc w:val="left"/>
            </w:pPr>
            <w:r>
              <w:t>5.25-5.50%紧缩</w:t>
            </w:r>
          </w:p>
        </w:tc>
        <w:tc>
          <w:tcPr>
            <w:tcW w:w="1661" w:type="dxa"/>
            <w:vAlign w:val="center"/>
          </w:tcPr>
          <w:p w14:paraId="675694CD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777A0EE0">
            <w:pPr>
              <w:jc w:val="left"/>
            </w:pPr>
            <w:r>
              <w:t>DR007&lt;政策利率（货币松）</w:t>
            </w:r>
          </w:p>
        </w:tc>
        <w:tc>
          <w:tcPr>
            <w:tcW w:w="1661" w:type="dxa"/>
            <w:vAlign w:val="center"/>
          </w:tcPr>
          <w:p w14:paraId="11B0C565">
            <w:pPr>
              <w:jc w:val="left"/>
            </w:pPr>
            <w:r>
              <w:t>6</w:t>
            </w:r>
          </w:p>
        </w:tc>
      </w:tr>
      <w:tr w14:paraId="5496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88BF1B6">
            <w:pPr>
              <w:jc w:val="left"/>
            </w:pPr>
            <w:r>
              <w:t>长端利率</w:t>
            </w:r>
          </w:p>
        </w:tc>
        <w:tc>
          <w:tcPr>
            <w:tcW w:w="1661" w:type="dxa"/>
            <w:vAlign w:val="center"/>
          </w:tcPr>
          <w:p w14:paraId="73BAF650">
            <w:pPr>
              <w:jc w:val="left"/>
            </w:pPr>
            <w:r>
              <w:t>10Y 3.90%↓</w:t>
            </w:r>
          </w:p>
        </w:tc>
        <w:tc>
          <w:tcPr>
            <w:tcW w:w="1661" w:type="dxa"/>
            <w:vAlign w:val="center"/>
          </w:tcPr>
          <w:p w14:paraId="39395598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2B196637">
            <w:pPr>
              <w:jc w:val="left"/>
            </w:pPr>
            <w:r>
              <w:t>10Y 2.15%↓</w:t>
            </w:r>
          </w:p>
        </w:tc>
        <w:tc>
          <w:tcPr>
            <w:tcW w:w="1661" w:type="dxa"/>
            <w:vAlign w:val="center"/>
          </w:tcPr>
          <w:p w14:paraId="000BD0AE">
            <w:pPr>
              <w:jc w:val="left"/>
            </w:pPr>
            <w:r>
              <w:t>7</w:t>
            </w:r>
          </w:p>
        </w:tc>
      </w:tr>
      <w:tr w14:paraId="6BCC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116F472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704047CB">
            <w:pPr>
              <w:jc w:val="left"/>
            </w:pPr>
            <w:r>
              <w:t>温和但边际走阔</w:t>
            </w:r>
          </w:p>
        </w:tc>
        <w:tc>
          <w:tcPr>
            <w:tcW w:w="1661" w:type="dxa"/>
            <w:vAlign w:val="center"/>
          </w:tcPr>
          <w:p w14:paraId="326F8D6C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5EAF4FAF">
            <w:pPr>
              <w:jc w:val="left"/>
            </w:pPr>
            <w:r>
              <w:t>信用收缩（社融↓+中长贷↓）</w:t>
            </w:r>
          </w:p>
        </w:tc>
        <w:tc>
          <w:tcPr>
            <w:tcW w:w="1661" w:type="dxa"/>
            <w:vAlign w:val="center"/>
          </w:tcPr>
          <w:p w14:paraId="3089C6FA">
            <w:pPr>
              <w:jc w:val="left"/>
            </w:pPr>
            <w:r>
              <w:t>3</w:t>
            </w:r>
          </w:p>
        </w:tc>
      </w:tr>
      <w:tr w14:paraId="1FAE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0A447E7">
            <w:pPr>
              <w:jc w:val="left"/>
            </w:pPr>
            <w:r>
              <w:t>汇率压力</w:t>
            </w:r>
          </w:p>
        </w:tc>
        <w:tc>
          <w:tcPr>
            <w:tcW w:w="1661" w:type="dxa"/>
            <w:vAlign w:val="center"/>
          </w:tcPr>
          <w:p w14:paraId="7DBDDF3D">
            <w:pPr>
              <w:jc w:val="left"/>
            </w:pPr>
            <w:r>
              <w:t>USD 101.5↓（弱美元）</w:t>
            </w:r>
          </w:p>
        </w:tc>
        <w:tc>
          <w:tcPr>
            <w:tcW w:w="1661" w:type="dxa"/>
            <w:vAlign w:val="center"/>
          </w:tcPr>
          <w:p w14:paraId="7CC4A302">
            <w:pPr>
              <w:jc w:val="left"/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4AFF9B2B">
            <w:pPr>
              <w:jc w:val="left"/>
            </w:pPr>
            <w:r>
              <w:t>CNH 7.16稳定</w:t>
            </w:r>
          </w:p>
        </w:tc>
        <w:tc>
          <w:tcPr>
            <w:tcW w:w="1661" w:type="dxa"/>
            <w:vAlign w:val="center"/>
          </w:tcPr>
          <w:p w14:paraId="4809EDC3">
            <w:pPr>
              <w:jc w:val="left"/>
            </w:pPr>
            <w:r>
              <w:t>5</w:t>
            </w:r>
          </w:p>
        </w:tc>
      </w:tr>
      <w:tr w14:paraId="0D7E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063DF1C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25D66F37">
            <w:pPr>
              <w:jc w:val="left"/>
            </w:pPr>
            <w:r>
              <w:t>VIX 16.5表面平稳</w:t>
            </w:r>
          </w:p>
        </w:tc>
        <w:tc>
          <w:tcPr>
            <w:tcW w:w="1661" w:type="dxa"/>
            <w:vAlign w:val="center"/>
          </w:tcPr>
          <w:p w14:paraId="2C099B01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60CD6EF9">
            <w:pPr>
              <w:jc w:val="left"/>
            </w:pPr>
            <w:r>
              <w:t>北向-287亿+融资融券↓</w:t>
            </w:r>
          </w:p>
        </w:tc>
        <w:tc>
          <w:tcPr>
            <w:tcW w:w="1661" w:type="dxa"/>
            <w:vAlign w:val="center"/>
          </w:tcPr>
          <w:p w14:paraId="68A97571">
            <w:pPr>
              <w:jc w:val="left"/>
            </w:pPr>
            <w:r>
              <w:t>2</w:t>
            </w:r>
          </w:p>
        </w:tc>
      </w:tr>
      <w:tr w14:paraId="46E6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D2FF8E9">
            <w:pPr>
              <w:jc w:val="left"/>
            </w:pPr>
            <w:r>
              <w:rPr>
                <w:b/>
              </w:rPr>
              <w:t>FCI合计</w:t>
            </w:r>
          </w:p>
        </w:tc>
        <w:tc>
          <w:tcPr>
            <w:tcW w:w="1661" w:type="dxa"/>
            <w:vAlign w:val="center"/>
          </w:tcPr>
          <w:p w14:paraId="3EA88DF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73640FD">
            <w:pPr>
              <w:jc w:val="left"/>
            </w:pPr>
            <w:r>
              <w:rPr>
                <w:b/>
              </w:rPr>
              <w:t>4.4/10</w:t>
            </w:r>
          </w:p>
        </w:tc>
        <w:tc>
          <w:tcPr>
            <w:tcW w:w="1661" w:type="dxa"/>
            <w:vAlign w:val="center"/>
          </w:tcPr>
          <w:p w14:paraId="59942348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ECBA533">
            <w:pPr>
              <w:jc w:val="left"/>
            </w:pPr>
            <w:r>
              <w:rPr>
                <w:b/>
              </w:rPr>
              <w:t>4.6/10</w:t>
            </w:r>
          </w:p>
        </w:tc>
      </w:tr>
    </w:tbl>
    <w:p w14:paraId="44A4F766">
      <w:pPr>
        <w:pStyle w:val="12"/>
      </w:pPr>
      <w:r>
        <w:t>关键特征：中国FCI的"货币松但信用缩"——流动性无法传导至实体经济，金融条件表面偏松但实际偏紧</w:t>
      </w:r>
    </w:p>
    <w:p w14:paraId="7BFBBC46">
      <w:pPr>
        <w:pStyle w:val="4"/>
      </w:pPr>
      <w:r>
        <w:rPr>
          <w:b/>
        </w:rPr>
        <w:t>离散标签与通胀得分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C0B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3C895BA">
            <w:pPr>
              <w:jc w:val="left"/>
            </w:pPr>
            <w:r>
              <w:t>项目</w:t>
            </w:r>
          </w:p>
        </w:tc>
        <w:tc>
          <w:tcPr>
            <w:tcW w:w="2768" w:type="dxa"/>
            <w:vAlign w:val="center"/>
          </w:tcPr>
          <w:p w14:paraId="3644C2A8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17479211">
            <w:pPr>
              <w:jc w:val="left"/>
            </w:pPr>
            <w:r>
              <w:t>中国</w:t>
            </w:r>
          </w:p>
        </w:tc>
      </w:tr>
      <w:tr w14:paraId="12A7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E16AD6F">
            <w:pPr>
              <w:jc w:val="left"/>
            </w:pPr>
            <w:r>
              <w:t>CAI离散标签</w:t>
            </w:r>
          </w:p>
        </w:tc>
        <w:tc>
          <w:tcPr>
            <w:tcW w:w="2768" w:type="dxa"/>
            <w:vAlign w:val="center"/>
          </w:tcPr>
          <w:p w14:paraId="2194D87D">
            <w:pPr>
              <w:jc w:val="left"/>
            </w:pPr>
            <w:r>
              <w:t>收缩（PMI连续5月&lt;50）</w:t>
            </w:r>
          </w:p>
        </w:tc>
        <w:tc>
          <w:tcPr>
            <w:tcW w:w="2768" w:type="dxa"/>
            <w:vAlign w:val="center"/>
          </w:tcPr>
          <w:p w14:paraId="179991EA">
            <w:pPr>
              <w:jc w:val="left"/>
            </w:pPr>
            <w:r>
              <w:t>收缩（PMI连续3月&lt;50）</w:t>
            </w:r>
          </w:p>
        </w:tc>
      </w:tr>
      <w:tr w14:paraId="1A64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03CB9D3">
            <w:pPr>
              <w:jc w:val="left"/>
            </w:pPr>
            <w:r>
              <w:t>FCI离散标签</w:t>
            </w:r>
          </w:p>
        </w:tc>
        <w:tc>
          <w:tcPr>
            <w:tcW w:w="2768" w:type="dxa"/>
            <w:vAlign w:val="center"/>
          </w:tcPr>
          <w:p w14:paraId="21F5FFBB">
            <w:pPr>
              <w:jc w:val="left"/>
            </w:pPr>
            <w:r>
              <w:t>紧缩（政策利率极高）</w:t>
            </w:r>
          </w:p>
        </w:tc>
        <w:tc>
          <w:tcPr>
            <w:tcW w:w="2768" w:type="dxa"/>
            <w:vAlign w:val="center"/>
          </w:tcPr>
          <w:p w14:paraId="15BC1B36">
            <w:pPr>
              <w:jc w:val="left"/>
            </w:pPr>
            <w:r>
              <w:t>结构性紧缩（货币松+信用堵）</w:t>
            </w:r>
          </w:p>
        </w:tc>
      </w:tr>
      <w:tr w14:paraId="3064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7CC92BA">
            <w:pPr>
              <w:jc w:val="left"/>
            </w:pPr>
            <w:r>
              <w:t>通胀得分</w:t>
            </w:r>
          </w:p>
        </w:tc>
        <w:tc>
          <w:tcPr>
            <w:tcW w:w="2768" w:type="dxa"/>
            <w:vAlign w:val="center"/>
          </w:tcPr>
          <w:p w14:paraId="7E177E0E">
            <w:pPr>
              <w:jc w:val="left"/>
            </w:pPr>
            <w:r>
              <w:t>4/10（核心2.3%↓，去通胀趋势）</w:t>
            </w:r>
          </w:p>
        </w:tc>
        <w:tc>
          <w:tcPr>
            <w:tcW w:w="2768" w:type="dxa"/>
            <w:vAlign w:val="center"/>
          </w:tcPr>
          <w:p w14:paraId="03F3894E">
            <w:pPr>
              <w:jc w:val="left"/>
            </w:pPr>
            <w:r>
              <w:t>1/10（核心0.4%，深度通缩压力）</w:t>
            </w:r>
          </w:p>
        </w:tc>
      </w:tr>
    </w:tbl>
    <w:p w14:paraId="500825AF">
      <w:pPr>
        <w:pStyle w:val="4"/>
      </w:pPr>
      <w:r>
        <w:rPr>
          <w:b/>
        </w:rPr>
        <w:t>两国状态画像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491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3223C00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37E4EFD4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54413462">
            <w:pPr>
              <w:jc w:val="left"/>
            </w:pPr>
            <w:r>
              <w:t>中国</w:t>
            </w:r>
          </w:p>
        </w:tc>
      </w:tr>
      <w:tr w14:paraId="2064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C3CF0BB">
            <w:pPr>
              <w:jc w:val="left"/>
            </w:pPr>
            <w:r>
              <w:t>增长</w:t>
            </w:r>
          </w:p>
        </w:tc>
        <w:tc>
          <w:tcPr>
            <w:tcW w:w="2768" w:type="dxa"/>
            <w:vAlign w:val="center"/>
          </w:tcPr>
          <w:p w14:paraId="513FF6F7">
            <w:pPr>
              <w:jc w:val="left"/>
            </w:pPr>
            <w:r>
              <w:t>收缩加速（PMI 47.2）</w:t>
            </w:r>
          </w:p>
        </w:tc>
        <w:tc>
          <w:tcPr>
            <w:tcW w:w="2768" w:type="dxa"/>
            <w:vAlign w:val="center"/>
          </w:tcPr>
          <w:p w14:paraId="2E7C547E">
            <w:pPr>
              <w:jc w:val="left"/>
            </w:pPr>
            <w:r>
              <w:t>收缩深化（PMI 49.1+信用缩）</w:t>
            </w:r>
          </w:p>
        </w:tc>
      </w:tr>
      <w:tr w14:paraId="6743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15B7A40">
            <w:pPr>
              <w:jc w:val="left"/>
            </w:pPr>
            <w:r>
              <w:t>通胀</w:t>
            </w:r>
          </w:p>
        </w:tc>
        <w:tc>
          <w:tcPr>
            <w:tcW w:w="2768" w:type="dxa"/>
            <w:vAlign w:val="center"/>
          </w:tcPr>
          <w:p w14:paraId="40E3B150">
            <w:pPr>
              <w:jc w:val="left"/>
            </w:pPr>
            <w:r>
              <w:t>去通胀中</w:t>
            </w:r>
          </w:p>
        </w:tc>
        <w:tc>
          <w:tcPr>
            <w:tcW w:w="2768" w:type="dxa"/>
            <w:vAlign w:val="center"/>
          </w:tcPr>
          <w:p w14:paraId="210F16C4">
            <w:pPr>
              <w:jc w:val="left"/>
            </w:pPr>
            <w:r>
              <w:t>深度通缩</w:t>
            </w:r>
          </w:p>
        </w:tc>
      </w:tr>
      <w:tr w14:paraId="13F1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4FA2778">
            <w:pPr>
              <w:jc w:val="left"/>
            </w:pPr>
            <w:r>
              <w:t>流动性</w:t>
            </w:r>
          </w:p>
        </w:tc>
        <w:tc>
          <w:tcPr>
            <w:tcW w:w="2768" w:type="dxa"/>
            <w:vAlign w:val="center"/>
          </w:tcPr>
          <w:p w14:paraId="2CFCE5F0">
            <w:pPr>
              <w:jc w:val="left"/>
            </w:pPr>
            <w:r>
              <w:t>紧缩（但市场开始定价降息）</w:t>
            </w:r>
          </w:p>
        </w:tc>
        <w:tc>
          <w:tcPr>
            <w:tcW w:w="2768" w:type="dxa"/>
            <w:vAlign w:val="center"/>
          </w:tcPr>
          <w:p w14:paraId="2454C2E4">
            <w:pPr>
              <w:jc w:val="left"/>
            </w:pPr>
            <w:r>
              <w:t>货币松+信用堵</w:t>
            </w:r>
          </w:p>
        </w:tc>
      </w:tr>
      <w:tr w14:paraId="7B9A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D7D9A6A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359D13C1">
            <w:pPr>
              <w:jc w:val="left"/>
            </w:pPr>
            <w:r>
              <w:t>收缩</w:t>
            </w:r>
          </w:p>
        </w:tc>
        <w:tc>
          <w:tcPr>
            <w:tcW w:w="2768" w:type="dxa"/>
            <w:vAlign w:val="center"/>
          </w:tcPr>
          <w:p w14:paraId="45E1EF6F">
            <w:pPr>
              <w:jc w:val="left"/>
            </w:pPr>
            <w:r>
              <w:t>收缩（企业中长贷5.2%↓）</w:t>
            </w:r>
          </w:p>
        </w:tc>
      </w:tr>
      <w:tr w14:paraId="5FA9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83F1D20">
            <w:pPr>
              <w:jc w:val="left"/>
            </w:pPr>
            <w:r>
              <w:t>综合</w:t>
            </w:r>
          </w:p>
        </w:tc>
        <w:tc>
          <w:tcPr>
            <w:tcW w:w="2768" w:type="dxa"/>
            <w:vAlign w:val="center"/>
          </w:tcPr>
          <w:p w14:paraId="37A75DD1">
            <w:pPr>
              <w:jc w:val="left"/>
            </w:pPr>
            <w:r>
              <w:t>衰退深化+降息在即</w:t>
            </w:r>
          </w:p>
        </w:tc>
        <w:tc>
          <w:tcPr>
            <w:tcW w:w="2768" w:type="dxa"/>
            <w:vAlign w:val="center"/>
          </w:tcPr>
          <w:p w14:paraId="7B0B1FED">
            <w:pPr>
              <w:jc w:val="left"/>
            </w:pPr>
            <w:r>
              <w:t>衰退+通缩+政策待发</w:t>
            </w:r>
          </w:p>
        </w:tc>
      </w:tr>
    </w:tbl>
    <w:p w14:paraId="5107F661">
      <w:pPr>
        <w:pBdr>
          <w:bottom w:val="single" w:color="auto" w:sz="8" w:space="0"/>
        </w:pBdr>
      </w:pPr>
    </w:p>
    <w:p w14:paraId="091B8435">
      <w:pPr>
        <w:pStyle w:val="6"/>
      </w:pPr>
      <w:r>
        <w:t>Layer 2：周期定位</w:t>
      </w:r>
    </w:p>
    <w:p w14:paraId="4A079CFA">
      <w:pPr>
        <w:pStyle w:val="4"/>
      </w:pPr>
      <w:r>
        <w:rPr>
          <w:b/>
        </w:rPr>
        <w:t>中美4象限定位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A1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8A0D993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7CE389EE">
            <w:pPr>
              <w:jc w:val="left"/>
            </w:pPr>
            <w:r>
              <w:t>增长方向</w:t>
            </w:r>
          </w:p>
        </w:tc>
        <w:tc>
          <w:tcPr>
            <w:tcW w:w="1661" w:type="dxa"/>
            <w:vAlign w:val="center"/>
          </w:tcPr>
          <w:p w14:paraId="432D048A">
            <w:pPr>
              <w:jc w:val="left"/>
            </w:pPr>
            <w:r>
              <w:t>通胀方向</w:t>
            </w:r>
          </w:p>
        </w:tc>
        <w:tc>
          <w:tcPr>
            <w:tcW w:w="1661" w:type="dxa"/>
            <w:vAlign w:val="center"/>
          </w:tcPr>
          <w:p w14:paraId="15FAF3A8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0AC45805">
            <w:pPr>
              <w:jc w:val="left"/>
            </w:pPr>
            <w:r>
              <w:t>含义</w:t>
            </w:r>
          </w:p>
        </w:tc>
      </w:tr>
      <w:tr w14:paraId="206C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E95133C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3F88C67F">
            <w:pPr>
              <w:jc w:val="left"/>
            </w:pPr>
            <w:r>
              <w:t>↓↓（PMI 47.2连续5月&lt;50）</w:t>
            </w:r>
          </w:p>
        </w:tc>
        <w:tc>
          <w:tcPr>
            <w:tcW w:w="1661" w:type="dxa"/>
            <w:vAlign w:val="center"/>
          </w:tcPr>
          <w:p w14:paraId="67E9BEA8">
            <w:pPr>
              <w:jc w:val="left"/>
            </w:pPr>
            <w:r>
              <w:t>↓（去通胀）</w:t>
            </w:r>
          </w:p>
        </w:tc>
        <w:tc>
          <w:tcPr>
            <w:tcW w:w="1661" w:type="dxa"/>
            <w:vAlign w:val="center"/>
          </w:tcPr>
          <w:p w14:paraId="5CBEBC66">
            <w:pPr>
              <w:jc w:val="left"/>
            </w:pPr>
            <w:r>
              <w:t>Ⅲ（衰退）</w:t>
            </w:r>
          </w:p>
        </w:tc>
        <w:tc>
          <w:tcPr>
            <w:tcW w:w="1661" w:type="dxa"/>
            <w:vAlign w:val="center"/>
          </w:tcPr>
          <w:p w14:paraId="7BDEEE52">
            <w:pPr>
              <w:jc w:val="left"/>
            </w:pPr>
            <w:r>
              <w:t>衰退确认，降息临近</w:t>
            </w:r>
          </w:p>
        </w:tc>
      </w:tr>
      <w:tr w14:paraId="21E0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E79D6B4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043CCEEF">
            <w:pPr>
              <w:jc w:val="left"/>
            </w:pPr>
            <w:r>
              <w:t>↓（PMI 49.1连续3月&lt;50）</w:t>
            </w:r>
          </w:p>
        </w:tc>
        <w:tc>
          <w:tcPr>
            <w:tcW w:w="1661" w:type="dxa"/>
            <w:vAlign w:val="center"/>
          </w:tcPr>
          <w:p w14:paraId="006A190A">
            <w:pPr>
              <w:jc w:val="left"/>
            </w:pPr>
            <w:r>
              <w:t>↓↓（核心0.4%通缩）</w:t>
            </w:r>
          </w:p>
        </w:tc>
        <w:tc>
          <w:tcPr>
            <w:tcW w:w="1661" w:type="dxa"/>
            <w:vAlign w:val="center"/>
          </w:tcPr>
          <w:p w14:paraId="22F04ECC">
            <w:pPr>
              <w:jc w:val="left"/>
            </w:pPr>
            <w:r>
              <w:t>Ⅲ（衰退+通缩）</w:t>
            </w:r>
          </w:p>
        </w:tc>
        <w:tc>
          <w:tcPr>
            <w:tcW w:w="1661" w:type="dxa"/>
            <w:vAlign w:val="center"/>
          </w:tcPr>
          <w:p w14:paraId="2166FB41">
            <w:pPr>
              <w:jc w:val="left"/>
            </w:pPr>
            <w:r>
              <w:t>衰退深化，政策底线将至</w:t>
            </w:r>
          </w:p>
        </w:tc>
      </w:tr>
    </w:tbl>
    <w:p w14:paraId="5E374A72">
      <w:pPr>
        <w:pStyle w:val="4"/>
      </w:pPr>
      <w:r>
        <w:rPr>
          <w:b/>
        </w:rPr>
        <w:t>政策维度调节得分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5A9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5D56FBA">
            <w:pPr>
              <w:jc w:val="left"/>
            </w:pPr>
            <w:r>
              <w:t>政策维度</w:t>
            </w:r>
          </w:p>
        </w:tc>
        <w:tc>
          <w:tcPr>
            <w:tcW w:w="2768" w:type="dxa"/>
            <w:vAlign w:val="center"/>
          </w:tcPr>
          <w:p w14:paraId="0F9F4210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74981A68">
            <w:pPr>
              <w:jc w:val="left"/>
            </w:pPr>
            <w:r>
              <w:t>中国</w:t>
            </w:r>
          </w:p>
        </w:tc>
      </w:tr>
      <w:tr w14:paraId="6032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DF160B2">
            <w:pPr>
              <w:jc w:val="left"/>
            </w:pPr>
            <w:r>
              <w:t>货币政策立场</w:t>
            </w:r>
          </w:p>
        </w:tc>
        <w:tc>
          <w:tcPr>
            <w:tcW w:w="2768" w:type="dxa"/>
            <w:vAlign w:val="center"/>
          </w:tcPr>
          <w:p w14:paraId="6C773B2F">
            <w:pPr>
              <w:jc w:val="left"/>
            </w:pPr>
            <w:r>
              <w:t>极度紧缩→-2（但市场定价转向临近）</w:t>
            </w:r>
          </w:p>
        </w:tc>
        <w:tc>
          <w:tcPr>
            <w:tcW w:w="2768" w:type="dxa"/>
            <w:vAlign w:val="center"/>
          </w:tcPr>
          <w:p w14:paraId="1E87AF52">
            <w:pPr>
              <w:jc w:val="left"/>
            </w:pPr>
            <w:r>
              <w:t>名义中性→0（货币松但信用堵）</w:t>
            </w:r>
          </w:p>
        </w:tc>
      </w:tr>
      <w:tr w14:paraId="617C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B60FCC8">
            <w:pPr>
              <w:jc w:val="left"/>
            </w:pPr>
            <w:r>
              <w:t>财政政策预期</w:t>
            </w:r>
          </w:p>
        </w:tc>
        <w:tc>
          <w:tcPr>
            <w:tcW w:w="2768" w:type="dxa"/>
            <w:vAlign w:val="center"/>
          </w:tcPr>
          <w:p w14:paraId="72DA8917">
            <w:pPr>
              <w:jc w:val="left"/>
            </w:pPr>
            <w:r>
              <w:t>温和→+0.5</w:t>
            </w:r>
          </w:p>
        </w:tc>
        <w:tc>
          <w:tcPr>
            <w:tcW w:w="2768" w:type="dxa"/>
            <w:vAlign w:val="center"/>
          </w:tcPr>
          <w:p w14:paraId="5C6FAF21">
            <w:pPr>
              <w:jc w:val="left"/>
            </w:pPr>
            <w:r>
              <w:t>积极加码预期→+1.5</w:t>
            </w:r>
          </w:p>
        </w:tc>
      </w:tr>
      <w:tr w14:paraId="5E66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BDE2ABB">
            <w:pPr>
              <w:jc w:val="left"/>
            </w:pPr>
            <w:r>
              <w:t>监管政策环境</w:t>
            </w:r>
          </w:p>
        </w:tc>
        <w:tc>
          <w:tcPr>
            <w:tcW w:w="2768" w:type="dxa"/>
            <w:vAlign w:val="center"/>
          </w:tcPr>
          <w:p w14:paraId="4DD80249">
            <w:pPr>
              <w:jc w:val="left"/>
            </w:pPr>
            <w:r>
              <w:t>中性→+0</w:t>
            </w:r>
          </w:p>
        </w:tc>
        <w:tc>
          <w:tcPr>
            <w:tcW w:w="2768" w:type="dxa"/>
            <w:vAlign w:val="center"/>
          </w:tcPr>
          <w:p w14:paraId="6BBA403D">
            <w:pPr>
              <w:jc w:val="left"/>
            </w:pPr>
            <w:r>
              <w:t>托底预期→+0.5</w:t>
            </w:r>
          </w:p>
        </w:tc>
      </w:tr>
      <w:tr w14:paraId="3F85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6B1F2E6">
            <w:pPr>
              <w:jc w:val="left"/>
            </w:pPr>
            <w:r>
              <w:t>政策维度总分</w:t>
            </w:r>
          </w:p>
        </w:tc>
        <w:tc>
          <w:tcPr>
            <w:tcW w:w="2768" w:type="dxa"/>
            <w:vAlign w:val="center"/>
          </w:tcPr>
          <w:p w14:paraId="39930E86">
            <w:pPr>
              <w:jc w:val="left"/>
            </w:pPr>
            <w:r>
              <w:rPr>
                <w:b/>
              </w:rPr>
              <w:t>-1.5</w:t>
            </w:r>
          </w:p>
        </w:tc>
        <w:tc>
          <w:tcPr>
            <w:tcW w:w="2768" w:type="dxa"/>
            <w:vAlign w:val="center"/>
          </w:tcPr>
          <w:p w14:paraId="547BFFC8">
            <w:pPr>
              <w:jc w:val="left"/>
            </w:pPr>
            <w:r>
              <w:rPr>
                <w:b/>
              </w:rPr>
              <w:t>+2.0</w:t>
            </w:r>
          </w:p>
        </w:tc>
      </w:tr>
    </w:tbl>
    <w:p w14:paraId="650BF346">
      <w:pPr>
        <w:pStyle w:val="12"/>
      </w:pPr>
      <w:r>
        <w:t>美国政策维度为负（紧缩压制），但市场已定价转向；中国政策为正（预期加码），但传导效率存疑</w:t>
      </w:r>
    </w:p>
    <w:p w14:paraId="0DA7172A">
      <w:pPr>
        <w:pStyle w:val="4"/>
      </w:pPr>
      <w:r>
        <w:rPr>
          <w:b/>
        </w:rPr>
        <w:t>长期债务周期偏置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C59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CC780E2">
            <w:pPr>
              <w:jc w:val="left"/>
            </w:pPr>
            <w:r>
              <w:t>经济体</w:t>
            </w:r>
          </w:p>
        </w:tc>
        <w:tc>
          <w:tcPr>
            <w:tcW w:w="2076" w:type="dxa"/>
            <w:vAlign w:val="center"/>
          </w:tcPr>
          <w:p w14:paraId="64EBADDE">
            <w:pPr>
              <w:jc w:val="left"/>
            </w:pPr>
            <w:r>
              <w:t>判断</w:t>
            </w:r>
          </w:p>
        </w:tc>
        <w:tc>
          <w:tcPr>
            <w:tcW w:w="2076" w:type="dxa"/>
            <w:vAlign w:val="center"/>
          </w:tcPr>
          <w:p w14:paraId="1F491E14">
            <w:pPr>
              <w:jc w:val="left"/>
            </w:pPr>
            <w:r>
              <w:t>依据</w:t>
            </w:r>
          </w:p>
        </w:tc>
        <w:tc>
          <w:tcPr>
            <w:tcW w:w="2076" w:type="dxa"/>
            <w:vAlign w:val="center"/>
          </w:tcPr>
          <w:p w14:paraId="2F9D08C0">
            <w:pPr>
              <w:jc w:val="left"/>
            </w:pPr>
            <w:r>
              <w:t>偏置方向</w:t>
            </w:r>
          </w:p>
        </w:tc>
      </w:tr>
      <w:tr w14:paraId="72A6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02D8A1D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2CB837AA">
            <w:pPr>
              <w:jc w:val="left"/>
            </w:pPr>
            <w:r>
              <w:t>去杠杆后期</w:t>
            </w:r>
          </w:p>
        </w:tc>
        <w:tc>
          <w:tcPr>
            <w:tcW w:w="2076" w:type="dxa"/>
            <w:vAlign w:val="center"/>
          </w:tcPr>
          <w:p w14:paraId="6D1136A9">
            <w:pPr>
              <w:jc w:val="left"/>
            </w:pPr>
            <w:r>
              <w:t>居民去杠杆接近完成，企业杠杆见顶</w:t>
            </w:r>
          </w:p>
        </w:tc>
        <w:tc>
          <w:tcPr>
            <w:tcW w:w="2076" w:type="dxa"/>
            <w:vAlign w:val="center"/>
          </w:tcPr>
          <w:p w14:paraId="2C1207F1">
            <w:pPr>
              <w:jc w:val="left"/>
            </w:pPr>
            <w:r>
              <w:t>偏中性（0）</w:t>
            </w:r>
          </w:p>
        </w:tc>
      </w:tr>
      <w:tr w14:paraId="4A26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97B0F2D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04402E34">
            <w:pPr>
              <w:jc w:val="left"/>
            </w:pPr>
            <w:r>
              <w:t>去杠杆深水区</w:t>
            </w:r>
          </w:p>
        </w:tc>
        <w:tc>
          <w:tcPr>
            <w:tcW w:w="2076" w:type="dxa"/>
            <w:vAlign w:val="center"/>
          </w:tcPr>
          <w:p w14:paraId="28D5EFC9">
            <w:pPr>
              <w:jc w:val="left"/>
            </w:pPr>
            <w:r>
              <w:t>地产投资-10.2%恶化，地方化债压力</w:t>
            </w:r>
          </w:p>
        </w:tc>
        <w:tc>
          <w:tcPr>
            <w:tcW w:w="2076" w:type="dxa"/>
            <w:vAlign w:val="center"/>
          </w:tcPr>
          <w:p w14:paraId="51A68E06">
            <w:pPr>
              <w:jc w:val="left"/>
            </w:pPr>
            <w:r>
              <w:t>偏负面（-1）</w:t>
            </w:r>
          </w:p>
        </w:tc>
      </w:tr>
    </w:tbl>
    <w:p w14:paraId="53C000B3">
      <w:pPr>
        <w:pStyle w:val="4"/>
      </w:pPr>
      <w:r>
        <w:rPr>
          <w:b/>
        </w:rPr>
        <w:t>Layer 2综合定位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21E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6D63194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3E372A82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1A102558">
            <w:pPr>
              <w:jc w:val="left"/>
            </w:pPr>
            <w:r>
              <w:t>政策调节</w:t>
            </w:r>
          </w:p>
        </w:tc>
        <w:tc>
          <w:tcPr>
            <w:tcW w:w="1661" w:type="dxa"/>
            <w:vAlign w:val="center"/>
          </w:tcPr>
          <w:p w14:paraId="14D70D85">
            <w:pPr>
              <w:jc w:val="left"/>
            </w:pPr>
            <w:r>
              <w:t>债务偏置</w:t>
            </w:r>
          </w:p>
        </w:tc>
        <w:tc>
          <w:tcPr>
            <w:tcW w:w="1661" w:type="dxa"/>
            <w:vAlign w:val="center"/>
          </w:tcPr>
          <w:p w14:paraId="366F1F73">
            <w:pPr>
              <w:jc w:val="left"/>
            </w:pPr>
            <w:r>
              <w:t>综合定位</w:t>
            </w:r>
          </w:p>
        </w:tc>
      </w:tr>
      <w:tr w14:paraId="688DE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38EF1BF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2BD5027">
            <w:pPr>
              <w:jc w:val="left"/>
            </w:pPr>
            <w:r>
              <w:t>Ⅲ</w:t>
            </w:r>
          </w:p>
        </w:tc>
        <w:tc>
          <w:tcPr>
            <w:tcW w:w="1661" w:type="dxa"/>
            <w:vAlign w:val="center"/>
          </w:tcPr>
          <w:p w14:paraId="35FA0DCE">
            <w:pPr>
              <w:jc w:val="left"/>
            </w:pPr>
            <w:r>
              <w:t>-1.5</w:t>
            </w:r>
          </w:p>
        </w:tc>
        <w:tc>
          <w:tcPr>
            <w:tcW w:w="1661" w:type="dxa"/>
            <w:vAlign w:val="center"/>
          </w:tcPr>
          <w:p w14:paraId="13F755E6">
            <w:pPr>
              <w:jc w:val="left"/>
            </w:pPr>
            <w:r>
              <w:t>0</w:t>
            </w:r>
          </w:p>
        </w:tc>
        <w:tc>
          <w:tcPr>
            <w:tcW w:w="1661" w:type="dxa"/>
            <w:vAlign w:val="center"/>
          </w:tcPr>
          <w:p w14:paraId="7D065802">
            <w:pPr>
              <w:jc w:val="left"/>
            </w:pPr>
            <w:r>
              <w:t>衰退确认，紧缩尾声→降息触发点</w:t>
            </w:r>
          </w:p>
        </w:tc>
      </w:tr>
      <w:tr w14:paraId="20E5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02CAC47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1A86EEB9">
            <w:pPr>
              <w:jc w:val="left"/>
            </w:pPr>
            <w:r>
              <w:t>Ⅲ</w:t>
            </w:r>
          </w:p>
        </w:tc>
        <w:tc>
          <w:tcPr>
            <w:tcW w:w="1661" w:type="dxa"/>
            <w:vAlign w:val="center"/>
          </w:tcPr>
          <w:p w14:paraId="216E476E">
            <w:pPr>
              <w:jc w:val="left"/>
            </w:pPr>
            <w:r>
              <w:t>+2.0</w:t>
            </w:r>
          </w:p>
        </w:tc>
        <w:tc>
          <w:tcPr>
            <w:tcW w:w="1661" w:type="dxa"/>
            <w:vAlign w:val="center"/>
          </w:tcPr>
          <w:p w14:paraId="3F01572E">
            <w:pPr>
              <w:jc w:val="left"/>
            </w:pPr>
            <w:r>
              <w:t>-1</w:t>
            </w:r>
          </w:p>
        </w:tc>
        <w:tc>
          <w:tcPr>
            <w:tcW w:w="1661" w:type="dxa"/>
            <w:vAlign w:val="center"/>
          </w:tcPr>
          <w:p w14:paraId="3555A965">
            <w:pPr>
              <w:jc w:val="left"/>
            </w:pPr>
            <w:r>
              <w:t>衰退+通缩，政策蓄力待释放</w:t>
            </w:r>
          </w:p>
        </w:tc>
      </w:tr>
    </w:tbl>
    <w:p w14:paraId="115F87F5">
      <w:pPr>
        <w:pStyle w:val="4"/>
      </w:pPr>
      <w:r>
        <w:rPr>
          <w:b/>
        </w:rPr>
        <w:t>关键判断</w:t>
      </w:r>
      <w:r>
        <w:t>：中美均处象限Ⅲ，但方向相反——美国即将走出紧缩（降息触发），中国即将走出衰退（政策触发）。双触发点临近是本轮拐点的核心逻辑。</w:t>
      </w:r>
    </w:p>
    <w:p w14:paraId="04E4AF63">
      <w:pPr>
        <w:pBdr>
          <w:bottom w:val="single" w:color="auto" w:sz="8" w:space="0"/>
        </w:pBdr>
      </w:pPr>
    </w:p>
    <w:p w14:paraId="45E4DED4">
      <w:pPr>
        <w:pStyle w:val="6"/>
      </w:pPr>
      <w:r>
        <w:t>Layer 2.5：枢纽变量分析</w:t>
      </w:r>
    </w:p>
    <w:p w14:paraId="0C135DB0">
      <w:pPr>
        <w:pStyle w:val="4"/>
      </w:pPr>
      <w:r>
        <w:rPr>
          <w:b/>
        </w:rPr>
        <w:t>USD/CNH方向得分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A85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61E597">
            <w:pPr>
              <w:jc w:val="left"/>
            </w:pPr>
            <w:r>
              <w:t>子维度</w:t>
            </w:r>
          </w:p>
        </w:tc>
        <w:tc>
          <w:tcPr>
            <w:tcW w:w="2768" w:type="dxa"/>
            <w:vAlign w:val="center"/>
          </w:tcPr>
          <w:p w14:paraId="17F0D266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314188A3">
            <w:pPr>
              <w:jc w:val="left"/>
            </w:pPr>
            <w:r>
              <w:t>得分</w:t>
            </w:r>
          </w:p>
        </w:tc>
      </w:tr>
      <w:tr w14:paraId="1FB1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7169F45">
            <w:pPr>
              <w:jc w:val="left"/>
            </w:pPr>
            <w:r>
              <w:t>利差（10Y）</w:t>
            </w:r>
          </w:p>
        </w:tc>
        <w:tc>
          <w:tcPr>
            <w:tcW w:w="2768" w:type="dxa"/>
            <w:vAlign w:val="center"/>
          </w:tcPr>
          <w:p w14:paraId="5D661688">
            <w:pPr>
              <w:jc w:val="left"/>
            </w:pPr>
            <w:r>
              <w:t>美3.90% vs 中2.15%，+175bp</w:t>
            </w:r>
          </w:p>
        </w:tc>
        <w:tc>
          <w:tcPr>
            <w:tcW w:w="2768" w:type="dxa"/>
            <w:vAlign w:val="center"/>
          </w:tcPr>
          <w:p w14:paraId="4D611C5F">
            <w:pPr>
              <w:jc w:val="left"/>
            </w:pPr>
            <w:r>
              <w:t>+1（利差偏美）</w:t>
            </w:r>
          </w:p>
        </w:tc>
      </w:tr>
      <w:tr w14:paraId="25FE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6CAD33C">
            <w:pPr>
              <w:jc w:val="left"/>
            </w:pPr>
            <w:r>
              <w:t>增长差</w:t>
            </w:r>
          </w:p>
        </w:tc>
        <w:tc>
          <w:tcPr>
            <w:tcW w:w="2768" w:type="dxa"/>
            <w:vAlign w:val="center"/>
          </w:tcPr>
          <w:p w14:paraId="2703DBFD">
            <w:pPr>
              <w:jc w:val="left"/>
            </w:pPr>
            <w:r>
              <w:t>双弱但美更弱</w:t>
            </w:r>
          </w:p>
        </w:tc>
        <w:tc>
          <w:tcPr>
            <w:tcW w:w="2768" w:type="dxa"/>
            <w:vAlign w:val="center"/>
          </w:tcPr>
          <w:p w14:paraId="4148EB6A">
            <w:pPr>
              <w:jc w:val="left"/>
            </w:pPr>
            <w:r>
              <w:t>-0.5（边际偏中）</w:t>
            </w:r>
          </w:p>
        </w:tc>
      </w:tr>
      <w:tr w14:paraId="27C1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2FD4B51">
            <w:pPr>
              <w:jc w:val="left"/>
            </w:pPr>
            <w:r>
              <w:t>资本流动</w:t>
            </w:r>
          </w:p>
        </w:tc>
        <w:tc>
          <w:tcPr>
            <w:tcW w:w="2768" w:type="dxa"/>
            <w:vAlign w:val="center"/>
          </w:tcPr>
          <w:p w14:paraId="00270B39">
            <w:pPr>
              <w:jc w:val="left"/>
            </w:pPr>
            <w:r>
              <w:t>北向-287亿</w:t>
            </w:r>
          </w:p>
        </w:tc>
        <w:tc>
          <w:tcPr>
            <w:tcW w:w="2768" w:type="dxa"/>
            <w:vAlign w:val="center"/>
          </w:tcPr>
          <w:p w14:paraId="5AD0E0FF">
            <w:pPr>
              <w:jc w:val="left"/>
            </w:pPr>
            <w:r>
              <w:t>+1（资本流出中国）</w:t>
            </w:r>
          </w:p>
        </w:tc>
      </w:tr>
      <w:tr w14:paraId="795B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6F99D70">
            <w:pPr>
              <w:jc w:val="left"/>
            </w:pPr>
            <w:r>
              <w:t>政策差</w:t>
            </w:r>
          </w:p>
        </w:tc>
        <w:tc>
          <w:tcPr>
            <w:tcW w:w="2768" w:type="dxa"/>
            <w:vAlign w:val="center"/>
          </w:tcPr>
          <w:p w14:paraId="5CFEDC25">
            <w:pPr>
              <w:jc w:val="left"/>
            </w:pPr>
            <w:r>
              <w:t>美紧缩但将转 vs 中观望</w:t>
            </w:r>
          </w:p>
        </w:tc>
        <w:tc>
          <w:tcPr>
            <w:tcW w:w="2768" w:type="dxa"/>
            <w:vAlign w:val="center"/>
          </w:tcPr>
          <w:p w14:paraId="5DA3AA0D">
            <w:pPr>
              <w:jc w:val="left"/>
            </w:pPr>
            <w:r>
              <w:t>-1（政策转向预期偏中）</w:t>
            </w:r>
          </w:p>
        </w:tc>
      </w:tr>
      <w:tr w14:paraId="2770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448753F">
            <w:pPr>
              <w:jc w:val="left"/>
            </w:pPr>
            <w:r>
              <w:t>情绪差</w:t>
            </w:r>
          </w:p>
        </w:tc>
        <w:tc>
          <w:tcPr>
            <w:tcW w:w="2768" w:type="dxa"/>
            <w:vAlign w:val="center"/>
          </w:tcPr>
          <w:p w14:paraId="3E2BCC06">
            <w:pPr>
              <w:jc w:val="left"/>
            </w:pPr>
            <w:r>
              <w:t>花旗意外双负</w:t>
            </w:r>
          </w:p>
        </w:tc>
        <w:tc>
          <w:tcPr>
            <w:tcW w:w="2768" w:type="dxa"/>
            <w:vAlign w:val="center"/>
          </w:tcPr>
          <w:p w14:paraId="36427B2D">
            <w:pPr>
              <w:jc w:val="left"/>
            </w:pPr>
            <w:r>
              <w:t>0</w:t>
            </w:r>
          </w:p>
        </w:tc>
      </w:tr>
      <w:tr w14:paraId="2F90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E4CFD75">
            <w:pPr>
              <w:jc w:val="left"/>
            </w:pPr>
            <w:r>
              <w:rPr>
                <w:b/>
              </w:rPr>
              <w:t>方向得分</w:t>
            </w:r>
          </w:p>
        </w:tc>
        <w:tc>
          <w:tcPr>
            <w:tcW w:w="2768" w:type="dxa"/>
            <w:vAlign w:val="center"/>
          </w:tcPr>
          <w:p w14:paraId="3DCB9ACC">
            <w:pPr>
              <w:jc w:val="left"/>
            </w:pPr>
            <w:r>
              <w:t>—</w:t>
            </w:r>
          </w:p>
        </w:tc>
        <w:tc>
          <w:tcPr>
            <w:tcW w:w="2768" w:type="dxa"/>
            <w:vAlign w:val="center"/>
          </w:tcPr>
          <w:p w14:paraId="0CD6C718">
            <w:pPr>
              <w:jc w:val="left"/>
            </w:pPr>
            <w:r>
              <w:rPr>
                <w:b/>
              </w:rPr>
              <w:t>+0.5（弱偏美元）</w:t>
            </w:r>
          </w:p>
        </w:tc>
      </w:tr>
    </w:tbl>
    <w:p w14:paraId="7BE2D7D1">
      <w:pPr>
        <w:pStyle w:val="12"/>
      </w:pPr>
      <w:r>
        <w:t>关键边际变化：政策差得分即将从+1翻转为-1（美联储降息），方向得分将从+0.5快速转为-1.5（人民币转强），这是拐点前瞻的核心信号</w:t>
      </w:r>
    </w:p>
    <w:p w14:paraId="6B40BDB0">
      <w:pPr>
        <w:pStyle w:val="4"/>
      </w:pPr>
      <w:r>
        <w:rPr>
          <w:b/>
        </w:rPr>
        <w:t>6个商品比值信号（示意）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630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FF76814">
            <w:pPr>
              <w:jc w:val="left"/>
            </w:pPr>
            <w:r>
              <w:t>比值</w:t>
            </w:r>
          </w:p>
        </w:tc>
        <w:tc>
          <w:tcPr>
            <w:tcW w:w="2768" w:type="dxa"/>
            <w:vAlign w:val="center"/>
          </w:tcPr>
          <w:p w14:paraId="045873B7">
            <w:pPr>
              <w:jc w:val="left"/>
            </w:pPr>
            <w:r>
              <w:t>数值趋势</w:t>
            </w:r>
          </w:p>
        </w:tc>
        <w:tc>
          <w:tcPr>
            <w:tcW w:w="2768" w:type="dxa"/>
            <w:vAlign w:val="center"/>
          </w:tcPr>
          <w:p w14:paraId="23C34CFF">
            <w:pPr>
              <w:jc w:val="left"/>
            </w:pPr>
            <w:r>
              <w:t>信号</w:t>
            </w:r>
          </w:p>
        </w:tc>
      </w:tr>
      <w:tr w14:paraId="55B4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0BF1B34">
            <w:pPr>
              <w:jc w:val="left"/>
            </w:pPr>
            <w:r>
              <w:t>铜/金</w:t>
            </w:r>
          </w:p>
        </w:tc>
        <w:tc>
          <w:tcPr>
            <w:tcW w:w="2768" w:type="dxa"/>
            <w:vAlign w:val="center"/>
          </w:tcPr>
          <w:p w14:paraId="7E71F555">
            <w:pPr>
              <w:jc w:val="left"/>
            </w:pPr>
            <w:r>
              <w:t>下行</w:t>
            </w:r>
          </w:p>
        </w:tc>
        <w:tc>
          <w:tcPr>
            <w:tcW w:w="2768" w:type="dxa"/>
            <w:vAlign w:val="center"/>
          </w:tcPr>
          <w:p w14:paraId="4E18DF9F">
            <w:pPr>
              <w:jc w:val="left"/>
            </w:pPr>
            <w:r>
              <w:t>避险需求&gt;增长预期</w:t>
            </w:r>
          </w:p>
        </w:tc>
      </w:tr>
      <w:tr w14:paraId="16A2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BDA1887">
            <w:pPr>
              <w:jc w:val="left"/>
            </w:pPr>
            <w:r>
              <w:t>油/金</w:t>
            </w:r>
          </w:p>
        </w:tc>
        <w:tc>
          <w:tcPr>
            <w:tcW w:w="2768" w:type="dxa"/>
            <w:vAlign w:val="center"/>
          </w:tcPr>
          <w:p w14:paraId="69119B32">
            <w:pPr>
              <w:jc w:val="left"/>
            </w:pPr>
            <w:r>
              <w:t>下行（WTI↓）</w:t>
            </w:r>
          </w:p>
        </w:tc>
        <w:tc>
          <w:tcPr>
            <w:tcW w:w="2768" w:type="dxa"/>
            <w:vAlign w:val="center"/>
          </w:tcPr>
          <w:p w14:paraId="72351D3C">
            <w:pPr>
              <w:jc w:val="left"/>
            </w:pPr>
            <w:r>
              <w:t>通胀预期走弱</w:t>
            </w:r>
          </w:p>
        </w:tc>
      </w:tr>
      <w:tr w14:paraId="19EC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1202747">
            <w:pPr>
              <w:jc w:val="left"/>
            </w:pPr>
            <w:r>
              <w:t>铜/油</w:t>
            </w:r>
          </w:p>
        </w:tc>
        <w:tc>
          <w:tcPr>
            <w:tcW w:w="2768" w:type="dxa"/>
            <w:vAlign w:val="center"/>
          </w:tcPr>
          <w:p w14:paraId="57FB7EE3">
            <w:pPr>
              <w:jc w:val="left"/>
            </w:pPr>
            <w:r>
              <w:t>震荡偏弱</w:t>
            </w:r>
          </w:p>
        </w:tc>
        <w:tc>
          <w:tcPr>
            <w:tcW w:w="2768" w:type="dxa"/>
            <w:vAlign w:val="center"/>
          </w:tcPr>
          <w:p w14:paraId="16D9707A">
            <w:pPr>
              <w:jc w:val="left"/>
            </w:pPr>
            <w:r>
              <w:t>增长预期低迷</w:t>
            </w:r>
          </w:p>
        </w:tc>
      </w:tr>
      <w:tr w14:paraId="32DB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F879185">
            <w:pPr>
              <w:jc w:val="left"/>
            </w:pPr>
            <w:r>
              <w:t>铁/金</w:t>
            </w:r>
          </w:p>
        </w:tc>
        <w:tc>
          <w:tcPr>
            <w:tcW w:w="2768" w:type="dxa"/>
            <w:vAlign w:val="center"/>
          </w:tcPr>
          <w:p w14:paraId="11AB22A2">
            <w:pPr>
              <w:jc w:val="left"/>
            </w:pPr>
            <w:r>
              <w:t>低位</w:t>
            </w:r>
          </w:p>
        </w:tc>
        <w:tc>
          <w:tcPr>
            <w:tcW w:w="2768" w:type="dxa"/>
            <w:vAlign w:val="center"/>
          </w:tcPr>
          <w:p w14:paraId="34B0468F">
            <w:pPr>
              <w:jc w:val="left"/>
            </w:pPr>
            <w:r>
              <w:t>中国地产链极度疲弱</w:t>
            </w:r>
          </w:p>
        </w:tc>
      </w:tr>
      <w:tr w14:paraId="571A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0933E45">
            <w:pPr>
              <w:jc w:val="left"/>
            </w:pPr>
            <w:r>
              <w:t>农产品/工业品</w:t>
            </w:r>
          </w:p>
        </w:tc>
        <w:tc>
          <w:tcPr>
            <w:tcW w:w="2768" w:type="dxa"/>
            <w:vAlign w:val="center"/>
          </w:tcPr>
          <w:p w14:paraId="3910B842">
            <w:pPr>
              <w:jc w:val="left"/>
            </w:pPr>
            <w:r>
              <w:t>偏弱</w:t>
            </w:r>
          </w:p>
        </w:tc>
        <w:tc>
          <w:tcPr>
            <w:tcW w:w="2768" w:type="dxa"/>
            <w:vAlign w:val="center"/>
          </w:tcPr>
          <w:p w14:paraId="469826D7">
            <w:pPr>
              <w:jc w:val="left"/>
            </w:pPr>
            <w:r>
              <w:t>需求全面收缩</w:t>
            </w:r>
          </w:p>
        </w:tc>
      </w:tr>
      <w:tr w14:paraId="10C9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92A2956">
            <w:pPr>
              <w:jc w:val="left"/>
            </w:pPr>
            <w:r>
              <w:t>CRB/美元</w:t>
            </w:r>
          </w:p>
        </w:tc>
        <w:tc>
          <w:tcPr>
            <w:tcW w:w="2768" w:type="dxa"/>
            <w:vAlign w:val="center"/>
          </w:tcPr>
          <w:p w14:paraId="7004C9A2">
            <w:pPr>
              <w:jc w:val="left"/>
            </w:pPr>
            <w:r>
              <w:t>下行（CRB↓+USD↓）</w:t>
            </w:r>
          </w:p>
        </w:tc>
        <w:tc>
          <w:tcPr>
            <w:tcW w:w="2768" w:type="dxa"/>
            <w:vAlign w:val="center"/>
          </w:tcPr>
          <w:p w14:paraId="72434231">
            <w:pPr>
              <w:jc w:val="left"/>
            </w:pPr>
            <w:r>
              <w:t>大宗与美元双弱</w:t>
            </w:r>
          </w:p>
        </w:tc>
      </w:tr>
    </w:tbl>
    <w:p w14:paraId="036BBA95">
      <w:pPr>
        <w:pStyle w:val="4"/>
      </w:pPr>
      <w:r>
        <w:rPr>
          <w:b/>
        </w:rPr>
        <w:t>全球宏观三角定位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3A4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1500F09">
            <w:pPr>
              <w:jc w:val="left"/>
            </w:pPr>
            <w:r>
              <w:t>三角维度</w:t>
            </w:r>
          </w:p>
        </w:tc>
        <w:tc>
          <w:tcPr>
            <w:tcW w:w="2768" w:type="dxa"/>
            <w:vAlign w:val="center"/>
          </w:tcPr>
          <w:p w14:paraId="710119F0">
            <w:pPr>
              <w:jc w:val="left"/>
            </w:pPr>
            <w:r>
              <w:t>状态</w:t>
            </w:r>
          </w:p>
        </w:tc>
        <w:tc>
          <w:tcPr>
            <w:tcW w:w="2768" w:type="dxa"/>
            <w:vAlign w:val="center"/>
          </w:tcPr>
          <w:p w14:paraId="7CACC655">
            <w:pPr>
              <w:jc w:val="left"/>
            </w:pPr>
            <w:r>
              <w:t>说明</w:t>
            </w:r>
          </w:p>
        </w:tc>
      </w:tr>
      <w:tr w14:paraId="7401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F348CAA">
            <w:pPr>
              <w:jc w:val="left"/>
            </w:pPr>
            <w:r>
              <w:t>商品-汇率</w:t>
            </w:r>
          </w:p>
        </w:tc>
        <w:tc>
          <w:tcPr>
            <w:tcW w:w="2768" w:type="dxa"/>
            <w:vAlign w:val="center"/>
          </w:tcPr>
          <w:p w14:paraId="7EC20A49">
            <w:pPr>
              <w:jc w:val="left"/>
            </w:pPr>
            <w:r>
              <w:t>大宗弱+CNH稳</w:t>
            </w:r>
          </w:p>
        </w:tc>
        <w:tc>
          <w:tcPr>
            <w:tcW w:w="2768" w:type="dxa"/>
            <w:vAlign w:val="center"/>
          </w:tcPr>
          <w:p w14:paraId="6892E1CD">
            <w:pPr>
              <w:jc w:val="left"/>
            </w:pPr>
            <w:r>
              <w:t>无通胀冲击，但商品暗示需求极弱</w:t>
            </w:r>
          </w:p>
        </w:tc>
      </w:tr>
      <w:tr w14:paraId="2764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CDE007A">
            <w:pPr>
              <w:jc w:val="left"/>
            </w:pPr>
            <w:r>
              <w:t>汇率-利率</w:t>
            </w:r>
          </w:p>
        </w:tc>
        <w:tc>
          <w:tcPr>
            <w:tcW w:w="2768" w:type="dxa"/>
            <w:vAlign w:val="center"/>
          </w:tcPr>
          <w:p w14:paraId="7545CDAF">
            <w:pPr>
              <w:jc w:val="left"/>
            </w:pPr>
            <w:r>
              <w:t>CNH稳+美债下行</w:t>
            </w:r>
          </w:p>
        </w:tc>
        <w:tc>
          <w:tcPr>
            <w:tcW w:w="2768" w:type="dxa"/>
            <w:vAlign w:val="center"/>
          </w:tcPr>
          <w:p w14:paraId="6962157E">
            <w:pPr>
              <w:jc w:val="left"/>
            </w:pPr>
            <w:r>
              <w:t>美债下行定价降息，但汇率尚未反映</w:t>
            </w:r>
          </w:p>
        </w:tc>
      </w:tr>
      <w:tr w14:paraId="2ABC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6003B65">
            <w:pPr>
              <w:jc w:val="left"/>
            </w:pPr>
            <w:r>
              <w:t>利率-商品</w:t>
            </w:r>
          </w:p>
        </w:tc>
        <w:tc>
          <w:tcPr>
            <w:tcW w:w="2768" w:type="dxa"/>
            <w:vAlign w:val="center"/>
          </w:tcPr>
          <w:p w14:paraId="03ED58E2">
            <w:pPr>
              <w:jc w:val="left"/>
            </w:pPr>
            <w:r>
              <w:t>美债↓+大宗↓</w:t>
            </w:r>
          </w:p>
        </w:tc>
        <w:tc>
          <w:tcPr>
            <w:tcW w:w="2768" w:type="dxa"/>
            <w:vAlign w:val="center"/>
          </w:tcPr>
          <w:p w14:paraId="035A42EC">
            <w:pPr>
              <w:jc w:val="left"/>
            </w:pPr>
            <w:r>
              <w:t>经典衰退定价组合</w:t>
            </w:r>
          </w:p>
        </w:tc>
      </w:tr>
    </w:tbl>
    <w:p w14:paraId="5D9F0BDB">
      <w:pPr>
        <w:pStyle w:val="4"/>
      </w:pPr>
      <w:r>
        <w:rPr>
          <w:b/>
        </w:rPr>
        <w:t>三角综合判定</w:t>
      </w:r>
      <w:r>
        <w:t>：衰退均衡——三大枢纽变量均指向衰退定价，但汇率与利率的定价差隐含拐点：美债已定价降息而汇率尚未反映，一旦美联储降息落地，汇率通道将快速修复。</w:t>
      </w:r>
    </w:p>
    <w:p w14:paraId="5E425EDB">
      <w:pPr>
        <w:pBdr>
          <w:bottom w:val="single" w:color="auto" w:sz="8" w:space="0"/>
        </w:pBdr>
      </w:pPr>
    </w:p>
    <w:p w14:paraId="02DCE49C">
      <w:pPr>
        <w:pStyle w:val="6"/>
      </w:pPr>
      <w:r>
        <w:t>Layer 3：市场定价提取</w:t>
      </w:r>
    </w:p>
    <w:p w14:paraId="745BE309">
      <w:pPr>
        <w:pStyle w:val="4"/>
      </w:pPr>
      <w:r>
        <w:rPr>
          <w:b/>
        </w:rPr>
        <w:t>5类市场定价指标中美对照表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4E7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493324F">
            <w:pPr>
              <w:jc w:val="left"/>
            </w:pPr>
            <w:r>
              <w:t>定价类别</w:t>
            </w:r>
          </w:p>
        </w:tc>
        <w:tc>
          <w:tcPr>
            <w:tcW w:w="1661" w:type="dxa"/>
            <w:vAlign w:val="center"/>
          </w:tcPr>
          <w:p w14:paraId="6F1C2D08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2BC42D0E">
            <w:pPr>
              <w:jc w:val="left"/>
            </w:pPr>
            <w:r>
              <w:t>美国定价</w:t>
            </w:r>
          </w:p>
        </w:tc>
        <w:tc>
          <w:tcPr>
            <w:tcW w:w="1661" w:type="dxa"/>
            <w:vAlign w:val="center"/>
          </w:tcPr>
          <w:p w14:paraId="590A2502">
            <w:pPr>
              <w:jc w:val="left"/>
            </w:pPr>
            <w:r>
              <w:t>中国定价</w:t>
            </w:r>
          </w:p>
        </w:tc>
        <w:tc>
          <w:tcPr>
            <w:tcW w:w="1661" w:type="dxa"/>
            <w:vAlign w:val="center"/>
          </w:tcPr>
          <w:p w14:paraId="56BB6230">
            <w:pPr>
              <w:jc w:val="left"/>
            </w:pPr>
            <w:r>
              <w:t>定价偏差</w:t>
            </w:r>
          </w:p>
        </w:tc>
      </w:tr>
      <w:tr w14:paraId="7DC5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AFD6E0">
            <w:pPr>
              <w:jc w:val="left"/>
            </w:pPr>
            <w:r>
              <w:t>利率曲线</w:t>
            </w:r>
          </w:p>
        </w:tc>
        <w:tc>
          <w:tcPr>
            <w:tcW w:w="1661" w:type="dxa"/>
            <w:vAlign w:val="center"/>
          </w:tcPr>
          <w:p w14:paraId="59D00BCE">
            <w:pPr>
              <w:jc w:val="left"/>
            </w:pPr>
            <w:r>
              <w:t>10Y-2Y利差</w:t>
            </w:r>
          </w:p>
        </w:tc>
        <w:tc>
          <w:tcPr>
            <w:tcW w:w="1661" w:type="dxa"/>
            <w:vAlign w:val="center"/>
          </w:tcPr>
          <w:p w14:paraId="534EDB27">
            <w:pPr>
              <w:jc w:val="left"/>
            </w:pPr>
            <w:r>
              <w:t>倒挂收窄（10Y 3.90%↓）</w:t>
            </w:r>
          </w:p>
        </w:tc>
        <w:tc>
          <w:tcPr>
            <w:tcW w:w="1661" w:type="dxa"/>
            <w:vAlign w:val="center"/>
          </w:tcPr>
          <w:p w14:paraId="015AA6CE">
            <w:pPr>
              <w:jc w:val="left"/>
            </w:pPr>
            <w:r>
              <w:t>10Y 2.15%↓（牛市陡峭）</w:t>
            </w:r>
          </w:p>
        </w:tc>
        <w:tc>
          <w:tcPr>
            <w:tcW w:w="1661" w:type="dxa"/>
            <w:vAlign w:val="center"/>
          </w:tcPr>
          <w:p w14:paraId="776ECFE4">
            <w:pPr>
              <w:jc w:val="left"/>
            </w:pPr>
            <w:r>
              <w:t>美定价降息，中定价通缩</w:t>
            </w:r>
          </w:p>
        </w:tc>
      </w:tr>
      <w:tr w14:paraId="42F4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C5844BD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417B186E">
            <w:pPr>
              <w:jc w:val="left"/>
            </w:pPr>
            <w:r>
              <w:t>IG/高收益</w:t>
            </w:r>
          </w:p>
        </w:tc>
        <w:tc>
          <w:tcPr>
            <w:tcW w:w="1661" w:type="dxa"/>
            <w:vAlign w:val="center"/>
          </w:tcPr>
          <w:p w14:paraId="11583C89">
            <w:pPr>
              <w:jc w:val="left"/>
            </w:pPr>
            <w:r>
              <w:t>温和（VIX 16.5表面平稳）</w:t>
            </w:r>
          </w:p>
        </w:tc>
        <w:tc>
          <w:tcPr>
            <w:tcW w:w="1661" w:type="dxa"/>
            <w:vAlign w:val="center"/>
          </w:tcPr>
          <w:p w14:paraId="32BF20F7">
            <w:pPr>
              <w:jc w:val="left"/>
            </w:pPr>
            <w:r>
              <w:t>收缩（融资融券↓）</w:t>
            </w:r>
          </w:p>
        </w:tc>
        <w:tc>
          <w:tcPr>
            <w:tcW w:w="1661" w:type="dxa"/>
            <w:vAlign w:val="center"/>
          </w:tcPr>
          <w:p w14:paraId="0AE0490E">
            <w:pPr>
              <w:jc w:val="left"/>
            </w:pPr>
            <w:r>
              <w:t>中国信用利差隐含紧缩</w:t>
            </w:r>
          </w:p>
        </w:tc>
      </w:tr>
      <w:tr w14:paraId="12CB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02B57BE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2A256A44">
            <w:pPr>
              <w:jc w:val="left"/>
            </w:pPr>
            <w:r>
              <w:t>前瞻PE</w:t>
            </w:r>
          </w:p>
        </w:tc>
        <w:tc>
          <w:tcPr>
            <w:tcW w:w="1661" w:type="dxa"/>
            <w:vAlign w:val="center"/>
          </w:tcPr>
          <w:p w14:paraId="20F85E08">
            <w:pPr>
              <w:jc w:val="left"/>
            </w:pPr>
            <w:r>
              <w:t>18x（中性）</w:t>
            </w:r>
          </w:p>
        </w:tc>
        <w:tc>
          <w:tcPr>
            <w:tcW w:w="1661" w:type="dxa"/>
            <w:vAlign w:val="center"/>
          </w:tcPr>
          <w:p w14:paraId="1B51F03D">
            <w:pPr>
              <w:jc w:val="left"/>
            </w:pPr>
            <w:r>
              <w:t>9x（极度低估）</w:t>
            </w:r>
          </w:p>
        </w:tc>
        <w:tc>
          <w:tcPr>
            <w:tcW w:w="1661" w:type="dxa"/>
            <w:vAlign w:val="center"/>
          </w:tcPr>
          <w:p w14:paraId="0CAE84D2">
            <w:pPr>
              <w:jc w:val="left"/>
            </w:pPr>
            <w:r>
              <w:t>中国权益隐含深度悲观</w:t>
            </w:r>
          </w:p>
        </w:tc>
      </w:tr>
      <w:tr w14:paraId="4631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446ABEF">
            <w:pPr>
              <w:jc w:val="left"/>
            </w:pPr>
            <w:r>
              <w:t>波动率</w:t>
            </w:r>
          </w:p>
        </w:tc>
        <w:tc>
          <w:tcPr>
            <w:tcW w:w="1661" w:type="dxa"/>
            <w:vAlign w:val="center"/>
          </w:tcPr>
          <w:p w14:paraId="630E4B08">
            <w:pPr>
              <w:jc w:val="left"/>
            </w:pPr>
            <w:r>
              <w:t>VIX/期权</w:t>
            </w:r>
          </w:p>
        </w:tc>
        <w:tc>
          <w:tcPr>
            <w:tcW w:w="1661" w:type="dxa"/>
            <w:vAlign w:val="center"/>
          </w:tcPr>
          <w:p w14:paraId="6B26BDDF">
            <w:pPr>
              <w:jc w:val="left"/>
            </w:pPr>
            <w:r>
              <w:t>VIX 16.5（表面平稳）</w:t>
            </w:r>
          </w:p>
        </w:tc>
        <w:tc>
          <w:tcPr>
            <w:tcW w:w="1661" w:type="dxa"/>
            <w:vAlign w:val="center"/>
          </w:tcPr>
          <w:p w14:paraId="27F6A0B7">
            <w:pPr>
              <w:jc w:val="left"/>
            </w:pPr>
            <w:r>
              <w:t>沪深300 P/C 1.15从1.3回落+中证1000基差-2.8%从-4%收窄</w:t>
            </w:r>
          </w:p>
        </w:tc>
        <w:tc>
          <w:tcPr>
            <w:tcW w:w="1661" w:type="dxa"/>
            <w:vAlign w:val="center"/>
          </w:tcPr>
          <w:p w14:paraId="6BC76062">
            <w:pPr>
              <w:jc w:val="left"/>
            </w:pPr>
            <w:r>
              <w:t>期权市场恐慌已见顶回落</w:t>
            </w:r>
          </w:p>
        </w:tc>
      </w:tr>
      <w:tr w14:paraId="4F15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469ECCD">
            <w:pPr>
              <w:jc w:val="left"/>
            </w:pPr>
            <w:r>
              <w:t>通胀预期</w:t>
            </w:r>
          </w:p>
        </w:tc>
        <w:tc>
          <w:tcPr>
            <w:tcW w:w="1661" w:type="dxa"/>
            <w:vAlign w:val="center"/>
          </w:tcPr>
          <w:p w14:paraId="50B10894">
            <w:pPr>
              <w:jc w:val="left"/>
            </w:pPr>
            <w:r>
              <w:t>盈亏平衡</w:t>
            </w:r>
          </w:p>
        </w:tc>
        <w:tc>
          <w:tcPr>
            <w:tcW w:w="1661" w:type="dxa"/>
            <w:vAlign w:val="center"/>
          </w:tcPr>
          <w:p w14:paraId="50062DCB">
            <w:pPr>
              <w:jc w:val="left"/>
            </w:pPr>
            <w:r>
              <w:t>2.1%（↓）</w:t>
            </w:r>
          </w:p>
        </w:tc>
        <w:tc>
          <w:tcPr>
            <w:tcW w:w="1661" w:type="dxa"/>
            <w:vAlign w:val="center"/>
          </w:tcPr>
          <w:p w14:paraId="6E3B4C65">
            <w:pPr>
              <w:jc w:val="left"/>
            </w:pPr>
            <w:r>
              <w:t>核心CPI 0.4%（通缩定价）</w:t>
            </w:r>
          </w:p>
        </w:tc>
        <w:tc>
          <w:tcPr>
            <w:tcW w:w="1661" w:type="dxa"/>
            <w:vAlign w:val="center"/>
          </w:tcPr>
          <w:p w14:paraId="3B30C396">
            <w:pPr>
              <w:jc w:val="left"/>
            </w:pPr>
            <w:r>
              <w:t>美定价去通胀，中定价深度通缩</w:t>
            </w:r>
          </w:p>
        </w:tc>
      </w:tr>
    </w:tbl>
    <w:p w14:paraId="4921AECD">
      <w:pPr>
        <w:pStyle w:val="4"/>
      </w:pPr>
      <w:r>
        <w:rPr>
          <w:b/>
        </w:rPr>
        <w:t>定价偏差汇总</w:t>
      </w:r>
      <w:r>
        <w:t>：中国市场在三个维度出现极端定价——权益极度低估、期权恐慌见顶回落、国债期货持仓连续增（定价降息）。三重极端叠加隐含强反转信号。美国市场定价"衰退+降息"但尚未反映降息幅度，同样存在上行预期差。</w:t>
      </w:r>
    </w:p>
    <w:p w14:paraId="4295ADC2">
      <w:pPr>
        <w:pStyle w:val="4"/>
      </w:pPr>
      <w:r>
        <w:rPr>
          <w:b/>
        </w:rPr>
        <w:t>关键定价偏差标记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6CCF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6AE584A">
            <w:pPr>
              <w:jc w:val="left"/>
            </w:pPr>
            <w:r>
              <w:t>偏差类型</w:t>
            </w:r>
          </w:p>
        </w:tc>
        <w:tc>
          <w:tcPr>
            <w:tcW w:w="2076" w:type="dxa"/>
            <w:vAlign w:val="center"/>
          </w:tcPr>
          <w:p w14:paraId="0B119B2A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1CCF8726">
            <w:pPr>
              <w:jc w:val="left"/>
            </w:pPr>
            <w:r>
              <w:t>偏差程度</w:t>
            </w:r>
          </w:p>
        </w:tc>
        <w:tc>
          <w:tcPr>
            <w:tcW w:w="2076" w:type="dxa"/>
            <w:vAlign w:val="center"/>
          </w:tcPr>
          <w:p w14:paraId="1BB793D8">
            <w:pPr>
              <w:jc w:val="left"/>
            </w:pPr>
            <w:r>
              <w:t>信号含义</w:t>
            </w:r>
          </w:p>
        </w:tc>
      </w:tr>
      <w:tr w14:paraId="6CC9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0C0A7C3">
            <w:pPr>
              <w:jc w:val="left"/>
            </w:pPr>
            <w:r>
              <w:t>估值极端</w:t>
            </w:r>
          </w:p>
        </w:tc>
        <w:tc>
          <w:tcPr>
            <w:tcW w:w="2076" w:type="dxa"/>
            <w:vAlign w:val="center"/>
          </w:tcPr>
          <w:p w14:paraId="280A7E1D">
            <w:pPr>
              <w:jc w:val="left"/>
            </w:pPr>
            <w:r>
              <w:t>中国前瞻PE 9x</w:t>
            </w:r>
          </w:p>
        </w:tc>
        <w:tc>
          <w:tcPr>
            <w:tcW w:w="2076" w:type="dxa"/>
            <w:vAlign w:val="center"/>
          </w:tcPr>
          <w:p w14:paraId="305A3598">
            <w:pPr>
              <w:jc w:val="left"/>
            </w:pPr>
            <w:r>
              <w:t>历史-1.5σ</w:t>
            </w:r>
          </w:p>
        </w:tc>
        <w:tc>
          <w:tcPr>
            <w:tcW w:w="2076" w:type="dxa"/>
            <w:vAlign w:val="center"/>
          </w:tcPr>
          <w:p w14:paraId="4510F0D3">
            <w:pPr>
              <w:jc w:val="left"/>
            </w:pPr>
            <w:r>
              <w:t>极度超卖</w:t>
            </w:r>
          </w:p>
        </w:tc>
      </w:tr>
      <w:tr w14:paraId="25E0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C673B1F">
            <w:pPr>
              <w:jc w:val="left"/>
            </w:pPr>
            <w:r>
              <w:t>情绪拐点</w:t>
            </w:r>
          </w:p>
        </w:tc>
        <w:tc>
          <w:tcPr>
            <w:tcW w:w="2076" w:type="dxa"/>
            <w:vAlign w:val="center"/>
          </w:tcPr>
          <w:p w14:paraId="534FC9AE">
            <w:pPr>
              <w:jc w:val="left"/>
            </w:pPr>
            <w:r>
              <w:t>P/C从1.3→1.15</w:t>
            </w:r>
          </w:p>
        </w:tc>
        <w:tc>
          <w:tcPr>
            <w:tcW w:w="2076" w:type="dxa"/>
            <w:vAlign w:val="center"/>
          </w:tcPr>
          <w:p w14:paraId="5A046A91">
            <w:pPr>
              <w:jc w:val="left"/>
            </w:pPr>
            <w:r>
              <w:t>恐慌衰减</w:t>
            </w:r>
          </w:p>
        </w:tc>
        <w:tc>
          <w:tcPr>
            <w:tcW w:w="2076" w:type="dxa"/>
            <w:vAlign w:val="center"/>
          </w:tcPr>
          <w:p w14:paraId="0E429320">
            <w:pPr>
              <w:jc w:val="left"/>
            </w:pPr>
            <w:r>
              <w:t>卖压衰竭</w:t>
            </w:r>
          </w:p>
        </w:tc>
      </w:tr>
      <w:tr w14:paraId="0D99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FF7E9AB">
            <w:pPr>
              <w:jc w:val="left"/>
            </w:pPr>
            <w:r>
              <w:t>基差收敛</w:t>
            </w:r>
          </w:p>
        </w:tc>
        <w:tc>
          <w:tcPr>
            <w:tcW w:w="2076" w:type="dxa"/>
            <w:vAlign w:val="center"/>
          </w:tcPr>
          <w:p w14:paraId="21B91DA7">
            <w:pPr>
              <w:jc w:val="left"/>
            </w:pPr>
            <w:r>
              <w:t>中证1000基差-2.8%从-4%</w:t>
            </w:r>
          </w:p>
        </w:tc>
        <w:tc>
          <w:tcPr>
            <w:tcW w:w="2076" w:type="dxa"/>
            <w:vAlign w:val="center"/>
          </w:tcPr>
          <w:p w14:paraId="5ACAEC80">
            <w:pPr>
              <w:jc w:val="left"/>
            </w:pPr>
            <w:r>
              <w:t>收窄30%</w:t>
            </w:r>
          </w:p>
        </w:tc>
        <w:tc>
          <w:tcPr>
            <w:tcW w:w="2076" w:type="dxa"/>
            <w:vAlign w:val="center"/>
          </w:tcPr>
          <w:p w14:paraId="6ADDA1AA">
            <w:pPr>
              <w:jc w:val="left"/>
            </w:pPr>
            <w:r>
              <w:t>做空力量退潮</w:t>
            </w:r>
          </w:p>
        </w:tc>
      </w:tr>
      <w:tr w14:paraId="2956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6CC77A5">
            <w:pPr>
              <w:jc w:val="left"/>
            </w:pPr>
            <w:r>
              <w:t>国债持仓</w:t>
            </w:r>
          </w:p>
        </w:tc>
        <w:tc>
          <w:tcPr>
            <w:tcW w:w="2076" w:type="dxa"/>
            <w:vAlign w:val="center"/>
          </w:tcPr>
          <w:p w14:paraId="71719B50">
            <w:pPr>
              <w:jc w:val="left"/>
            </w:pPr>
            <w:r>
              <w:t>10Y国债期货持仓连续3周增</w:t>
            </w:r>
          </w:p>
        </w:tc>
        <w:tc>
          <w:tcPr>
            <w:tcW w:w="2076" w:type="dxa"/>
            <w:vAlign w:val="center"/>
          </w:tcPr>
          <w:p w14:paraId="6C73F882">
            <w:pPr>
              <w:jc w:val="left"/>
            </w:pPr>
            <w:r>
              <w:t>异常增仓</w:t>
            </w:r>
          </w:p>
        </w:tc>
        <w:tc>
          <w:tcPr>
            <w:tcW w:w="2076" w:type="dxa"/>
            <w:vAlign w:val="center"/>
          </w:tcPr>
          <w:p w14:paraId="72D58656">
            <w:pPr>
              <w:jc w:val="left"/>
            </w:pPr>
            <w:r>
              <w:t>降息预期集中定价</w:t>
            </w:r>
          </w:p>
        </w:tc>
      </w:tr>
      <w:tr w14:paraId="16B6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F86D70F">
            <w:pPr>
              <w:jc w:val="left"/>
            </w:pPr>
            <w:r>
              <w:t>政策预期</w:t>
            </w:r>
          </w:p>
        </w:tc>
        <w:tc>
          <w:tcPr>
            <w:tcW w:w="2076" w:type="dxa"/>
            <w:vAlign w:val="center"/>
          </w:tcPr>
          <w:p w14:paraId="3496F385">
            <w:pPr>
              <w:jc w:val="left"/>
            </w:pPr>
            <w:r>
              <w:t>政策预期打分卡8分</w:t>
            </w:r>
          </w:p>
        </w:tc>
        <w:tc>
          <w:tcPr>
            <w:tcW w:w="2076" w:type="dxa"/>
            <w:vAlign w:val="center"/>
          </w:tcPr>
          <w:p w14:paraId="4A45B50B">
            <w:pPr>
              <w:jc w:val="left"/>
            </w:pPr>
            <w:r>
              <w:t>接近满分</w:t>
            </w:r>
          </w:p>
        </w:tc>
        <w:tc>
          <w:tcPr>
            <w:tcW w:w="2076" w:type="dxa"/>
            <w:vAlign w:val="center"/>
          </w:tcPr>
          <w:p w14:paraId="5EE0DE40">
            <w:pPr>
              <w:jc w:val="left"/>
            </w:pPr>
            <w:r>
              <w:t>政策发力在即</w:t>
            </w:r>
          </w:p>
        </w:tc>
      </w:tr>
    </w:tbl>
    <w:p w14:paraId="08DFD52F">
      <w:pPr>
        <w:pBdr>
          <w:bottom w:val="single" w:color="auto" w:sz="8" w:space="0"/>
        </w:pBdr>
      </w:pPr>
    </w:p>
    <w:p w14:paraId="3E11A158">
      <w:pPr>
        <w:pStyle w:val="6"/>
      </w:pPr>
      <w:r>
        <w:t>Layer 4：预期差信号引擎</w:t>
      </w:r>
    </w:p>
    <w:p w14:paraId="2784D9B9">
      <w:pPr>
        <w:pStyle w:val="4"/>
      </w:pPr>
      <w:r>
        <w:rPr>
          <w:b/>
        </w:rPr>
        <w:t>三类预期差信号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E1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11E249D">
            <w:pPr>
              <w:jc w:val="left"/>
            </w:pPr>
            <w:r>
              <w:t>信号类型</w:t>
            </w:r>
          </w:p>
        </w:tc>
        <w:tc>
          <w:tcPr>
            <w:tcW w:w="1661" w:type="dxa"/>
            <w:vAlign w:val="center"/>
          </w:tcPr>
          <w:p w14:paraId="7230B8B3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5E6B0BC7">
            <w:pPr>
              <w:jc w:val="left"/>
            </w:pPr>
            <w:r>
              <w:t>强度</w:t>
            </w:r>
          </w:p>
        </w:tc>
        <w:tc>
          <w:tcPr>
            <w:tcW w:w="1661" w:type="dxa"/>
            <w:vAlign w:val="center"/>
          </w:tcPr>
          <w:p w14:paraId="1A9DA342">
            <w:pPr>
              <w:jc w:val="left"/>
            </w:pPr>
            <w:r>
              <w:t>边际变化</w:t>
            </w:r>
          </w:p>
        </w:tc>
        <w:tc>
          <w:tcPr>
            <w:tcW w:w="1661" w:type="dxa"/>
            <w:vAlign w:val="center"/>
          </w:tcPr>
          <w:p w14:paraId="77FC8E3B">
            <w:pPr>
              <w:jc w:val="left"/>
            </w:pPr>
            <w:r>
              <w:t>信号源</w:t>
            </w:r>
          </w:p>
        </w:tc>
      </w:tr>
      <w:tr w14:paraId="6F82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B4E2181">
            <w:pPr>
              <w:jc w:val="left"/>
            </w:pPr>
            <w:r>
              <w:rPr>
                <w:b/>
              </w:rPr>
              <w:t>A类：增长预期差</w:t>
            </w:r>
          </w:p>
        </w:tc>
        <w:tc>
          <w:tcPr>
            <w:tcW w:w="1661" w:type="dxa"/>
            <w:vAlign w:val="center"/>
          </w:tcPr>
          <w:p w14:paraId="04C0BC1E">
            <w:pPr>
              <w:jc w:val="left"/>
            </w:pPr>
            <w:r>
              <w:t>美国负→即将转正</w:t>
            </w:r>
          </w:p>
        </w:tc>
        <w:tc>
          <w:tcPr>
            <w:tcW w:w="1661" w:type="dxa"/>
            <w:vAlign w:val="center"/>
          </w:tcPr>
          <w:p w14:paraId="319E3366">
            <w:pPr>
              <w:jc w:val="left"/>
            </w:pPr>
            <w:r>
              <w:t>弱→中等（-1→+2）</w:t>
            </w:r>
          </w:p>
        </w:tc>
        <w:tc>
          <w:tcPr>
            <w:tcW w:w="1661" w:type="dxa"/>
            <w:vAlign w:val="center"/>
          </w:tcPr>
          <w:p w14:paraId="68146733">
            <w:pPr>
              <w:jc w:val="left"/>
            </w:pPr>
            <w:r>
              <w:t>↑↑边际剧变</w:t>
            </w:r>
          </w:p>
        </w:tc>
        <w:tc>
          <w:tcPr>
            <w:tcW w:w="1661" w:type="dxa"/>
            <w:vAlign w:val="center"/>
          </w:tcPr>
          <w:p w14:paraId="3FC9FA2D">
            <w:pPr>
              <w:jc w:val="left"/>
            </w:pPr>
            <w:r>
              <w:t>PMI极低+就业走弱→降息触发后增长预期修复</w:t>
            </w:r>
          </w:p>
        </w:tc>
      </w:tr>
      <w:tr w14:paraId="4BEF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092022">
            <w:pPr>
              <w:jc w:val="left"/>
            </w:pPr>
            <w:r>
              <w:rPr>
                <w:b/>
              </w:rPr>
              <w:t>B类：政策预期差</w:t>
            </w:r>
          </w:p>
        </w:tc>
        <w:tc>
          <w:tcPr>
            <w:tcW w:w="1661" w:type="dxa"/>
            <w:vAlign w:val="center"/>
          </w:tcPr>
          <w:p w14:paraId="2426573A">
            <w:pPr>
              <w:jc w:val="left"/>
            </w:pPr>
            <w:r>
              <w:t>中美双正</w:t>
            </w:r>
          </w:p>
        </w:tc>
        <w:tc>
          <w:tcPr>
            <w:tcW w:w="1661" w:type="dxa"/>
            <w:vAlign w:val="center"/>
          </w:tcPr>
          <w:p w14:paraId="00F21B19">
            <w:pPr>
              <w:jc w:val="left"/>
            </w:pPr>
            <w:r>
              <w:t>强（+3）</w:t>
            </w:r>
          </w:p>
        </w:tc>
        <w:tc>
          <w:tcPr>
            <w:tcW w:w="1661" w:type="dxa"/>
            <w:vAlign w:val="center"/>
          </w:tcPr>
          <w:p w14:paraId="25D9CF4D">
            <w:pPr>
              <w:jc w:val="left"/>
            </w:pPr>
            <w:r>
              <w:t>↑↑加速</w:t>
            </w:r>
          </w:p>
        </w:tc>
        <w:tc>
          <w:tcPr>
            <w:tcW w:w="1661" w:type="dxa"/>
            <w:vAlign w:val="center"/>
          </w:tcPr>
          <w:p w14:paraId="1F997353">
            <w:pPr>
              <w:jc w:val="left"/>
            </w:pPr>
            <w:r>
              <w:t>美联储降息在即+中国政策8分→即将释放</w:t>
            </w:r>
          </w:p>
        </w:tc>
      </w:tr>
      <w:tr w14:paraId="2DBC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A502F9B">
            <w:pPr>
              <w:jc w:val="left"/>
            </w:pPr>
            <w:r>
              <w:rPr>
                <w:b/>
              </w:rPr>
              <w:t>C类：估值/情绪预期差</w:t>
            </w:r>
          </w:p>
        </w:tc>
        <w:tc>
          <w:tcPr>
            <w:tcW w:w="1661" w:type="dxa"/>
            <w:vAlign w:val="center"/>
          </w:tcPr>
          <w:p w14:paraId="7A1B6020">
            <w:pPr>
              <w:jc w:val="left"/>
            </w:pPr>
            <w:r>
              <w:t>中国强正</w:t>
            </w:r>
          </w:p>
        </w:tc>
        <w:tc>
          <w:tcPr>
            <w:tcW w:w="1661" w:type="dxa"/>
            <w:vAlign w:val="center"/>
          </w:tcPr>
          <w:p w14:paraId="407295E9">
            <w:pPr>
              <w:jc w:val="left"/>
            </w:pPr>
            <w:r>
              <w:t>强（+3）</w:t>
            </w:r>
          </w:p>
        </w:tc>
        <w:tc>
          <w:tcPr>
            <w:tcW w:w="1661" w:type="dxa"/>
            <w:vAlign w:val="center"/>
          </w:tcPr>
          <w:p w14:paraId="71F83EF5">
            <w:pPr>
              <w:jc w:val="left"/>
            </w:pPr>
            <w:r>
              <w:t>↑见顶回落即拐点</w:t>
            </w:r>
          </w:p>
        </w:tc>
        <w:tc>
          <w:tcPr>
            <w:tcW w:w="1661" w:type="dxa"/>
            <w:vAlign w:val="center"/>
          </w:tcPr>
          <w:p w14:paraId="52F0D2CC">
            <w:pPr>
              <w:jc w:val="left"/>
            </w:pPr>
            <w:r>
              <w:t>PE 9x+P/C回落+基差收窄+国债增仓</w:t>
            </w:r>
          </w:p>
        </w:tc>
      </w:tr>
    </w:tbl>
    <w:p w14:paraId="6A722292">
      <w:pPr>
        <w:pStyle w:val="4"/>
      </w:pPr>
      <w:r>
        <w:rPr>
          <w:b/>
        </w:rPr>
        <w:t>信号源汇总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5A7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2CA96D1">
            <w:pPr>
              <w:jc w:val="left"/>
            </w:pPr>
            <w:r>
              <w:t>信号源</w:t>
            </w:r>
          </w:p>
        </w:tc>
        <w:tc>
          <w:tcPr>
            <w:tcW w:w="1661" w:type="dxa"/>
            <w:vAlign w:val="center"/>
          </w:tcPr>
          <w:p w14:paraId="606C4456">
            <w:pPr>
              <w:jc w:val="left"/>
            </w:pPr>
            <w:r>
              <w:t>类型</w:t>
            </w:r>
          </w:p>
        </w:tc>
        <w:tc>
          <w:tcPr>
            <w:tcW w:w="1661" w:type="dxa"/>
            <w:vAlign w:val="center"/>
          </w:tcPr>
          <w:p w14:paraId="4D0AED7E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55BA94D0">
            <w:pPr>
              <w:jc w:val="left"/>
            </w:pPr>
            <w:r>
              <w:t>可信度</w:t>
            </w:r>
          </w:p>
        </w:tc>
        <w:tc>
          <w:tcPr>
            <w:tcW w:w="1661" w:type="dxa"/>
            <w:vAlign w:val="center"/>
          </w:tcPr>
          <w:p w14:paraId="134FA8B7">
            <w:pPr>
              <w:jc w:val="left"/>
            </w:pPr>
            <w:r>
              <w:t>拐点特征</w:t>
            </w:r>
          </w:p>
        </w:tc>
      </w:tr>
      <w:tr w14:paraId="5B2A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93301CE">
            <w:pPr>
              <w:jc w:val="left"/>
            </w:pPr>
            <w:r>
              <w:t>PMI连续5月&lt;50</w:t>
            </w:r>
          </w:p>
        </w:tc>
        <w:tc>
          <w:tcPr>
            <w:tcW w:w="1661" w:type="dxa"/>
            <w:vAlign w:val="center"/>
          </w:tcPr>
          <w:p w14:paraId="086B7212">
            <w:pPr>
              <w:jc w:val="left"/>
            </w:pPr>
            <w:r>
              <w:t>A类</w:t>
            </w:r>
          </w:p>
        </w:tc>
        <w:tc>
          <w:tcPr>
            <w:tcW w:w="1661" w:type="dxa"/>
            <w:vAlign w:val="center"/>
          </w:tcPr>
          <w:p w14:paraId="6950369A">
            <w:pPr>
              <w:jc w:val="left"/>
            </w:pPr>
            <w:r>
              <w:t>美衰退确认</w:t>
            </w:r>
          </w:p>
        </w:tc>
        <w:tc>
          <w:tcPr>
            <w:tcW w:w="1661" w:type="dxa"/>
            <w:vAlign w:val="center"/>
          </w:tcPr>
          <w:p w14:paraId="12976AED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0DBD3CF9">
            <w:pPr>
              <w:jc w:val="left"/>
            </w:pPr>
            <w:r>
              <w:t>极端值=反转前提</w:t>
            </w:r>
          </w:p>
        </w:tc>
      </w:tr>
      <w:tr w14:paraId="5AEE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D48A036">
            <w:pPr>
              <w:jc w:val="left"/>
            </w:pPr>
            <w:r>
              <w:t>失业率4.2%↑</w:t>
            </w:r>
          </w:p>
        </w:tc>
        <w:tc>
          <w:tcPr>
            <w:tcW w:w="1661" w:type="dxa"/>
            <w:vAlign w:val="center"/>
          </w:tcPr>
          <w:p w14:paraId="1891CD0A">
            <w:pPr>
              <w:jc w:val="left"/>
            </w:pPr>
            <w:r>
              <w:t>A类</w:t>
            </w:r>
          </w:p>
        </w:tc>
        <w:tc>
          <w:tcPr>
            <w:tcW w:w="1661" w:type="dxa"/>
            <w:vAlign w:val="center"/>
          </w:tcPr>
          <w:p w14:paraId="3F1B0D38">
            <w:pPr>
              <w:jc w:val="left"/>
            </w:pPr>
            <w:r>
              <w:t>美就业恶化触发降息</w:t>
            </w:r>
          </w:p>
        </w:tc>
        <w:tc>
          <w:tcPr>
            <w:tcW w:w="1661" w:type="dxa"/>
            <w:vAlign w:val="center"/>
          </w:tcPr>
          <w:p w14:paraId="2EA8330E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47A1F10F">
            <w:pPr>
              <w:jc w:val="left"/>
            </w:pPr>
            <w:r>
              <w:t>萨姆规则逼近</w:t>
            </w:r>
          </w:p>
        </w:tc>
      </w:tr>
      <w:tr w14:paraId="2B35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51DF68CF">
            <w:pPr>
              <w:jc w:val="left"/>
            </w:pPr>
            <w:r>
              <w:t>10Y美债3.90%↓</w:t>
            </w:r>
          </w:p>
        </w:tc>
        <w:tc>
          <w:tcPr>
            <w:tcW w:w="1661" w:type="dxa"/>
            <w:vAlign w:val="center"/>
          </w:tcPr>
          <w:p w14:paraId="28802C69">
            <w:pPr>
              <w:jc w:val="left"/>
            </w:pPr>
            <w:r>
              <w:t>B类</w:t>
            </w:r>
          </w:p>
        </w:tc>
        <w:tc>
          <w:tcPr>
            <w:tcW w:w="1661" w:type="dxa"/>
            <w:vAlign w:val="center"/>
          </w:tcPr>
          <w:p w14:paraId="5BCEF7E3">
            <w:pPr>
              <w:jc w:val="left"/>
            </w:pPr>
            <w:r>
              <w:t>市场已定价降息</w:t>
            </w:r>
          </w:p>
        </w:tc>
        <w:tc>
          <w:tcPr>
            <w:tcW w:w="1661" w:type="dxa"/>
            <w:vAlign w:val="center"/>
          </w:tcPr>
          <w:p w14:paraId="62B4B781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46B10E06">
            <w:pPr>
              <w:jc w:val="left"/>
            </w:pPr>
            <w:r>
              <w:t>提前定价=政策将兑现</w:t>
            </w:r>
          </w:p>
        </w:tc>
      </w:tr>
      <w:tr w14:paraId="5A35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02A6AA9">
            <w:pPr>
              <w:jc w:val="left"/>
            </w:pPr>
            <w:r>
              <w:t>政策预期打分卡8分</w:t>
            </w:r>
          </w:p>
        </w:tc>
        <w:tc>
          <w:tcPr>
            <w:tcW w:w="1661" w:type="dxa"/>
            <w:vAlign w:val="center"/>
          </w:tcPr>
          <w:p w14:paraId="2DBE9CCF">
            <w:pPr>
              <w:jc w:val="left"/>
            </w:pPr>
            <w:r>
              <w:t>B类</w:t>
            </w:r>
          </w:p>
        </w:tc>
        <w:tc>
          <w:tcPr>
            <w:tcW w:w="1661" w:type="dxa"/>
            <w:vAlign w:val="center"/>
          </w:tcPr>
          <w:p w14:paraId="16596082">
            <w:pPr>
              <w:jc w:val="left"/>
            </w:pPr>
            <w:r>
              <w:t>中国政策即将释放</w:t>
            </w:r>
          </w:p>
        </w:tc>
        <w:tc>
          <w:tcPr>
            <w:tcW w:w="1661" w:type="dxa"/>
            <w:vAlign w:val="center"/>
          </w:tcPr>
          <w:p w14:paraId="5F4A4216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7926F65E">
            <w:pPr>
              <w:jc w:val="left"/>
            </w:pPr>
            <w:r>
              <w:t>接近满分=触发阈值</w:t>
            </w:r>
          </w:p>
        </w:tc>
      </w:tr>
      <w:tr w14:paraId="36EB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C4D82EA">
            <w:pPr>
              <w:jc w:val="left"/>
            </w:pPr>
            <w:r>
              <w:t>PE 9x</w:t>
            </w:r>
          </w:p>
        </w:tc>
        <w:tc>
          <w:tcPr>
            <w:tcW w:w="1661" w:type="dxa"/>
            <w:vAlign w:val="center"/>
          </w:tcPr>
          <w:p w14:paraId="78A1A685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742C923D">
            <w:pPr>
              <w:jc w:val="left"/>
            </w:pPr>
            <w:r>
              <w:t>极度低估</w:t>
            </w:r>
          </w:p>
        </w:tc>
        <w:tc>
          <w:tcPr>
            <w:tcW w:w="1661" w:type="dxa"/>
            <w:vAlign w:val="center"/>
          </w:tcPr>
          <w:p w14:paraId="594C76C6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20494A6E">
            <w:pPr>
              <w:jc w:val="left"/>
            </w:pPr>
            <w:r>
              <w:t>历史分位&lt;5%</w:t>
            </w:r>
          </w:p>
        </w:tc>
      </w:tr>
      <w:tr w14:paraId="7272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5497BE0">
            <w:pPr>
              <w:jc w:val="left"/>
            </w:pPr>
            <w:r>
              <w:t>P/C 1.15从1.3回落</w:t>
            </w:r>
          </w:p>
        </w:tc>
        <w:tc>
          <w:tcPr>
            <w:tcW w:w="1661" w:type="dxa"/>
            <w:vAlign w:val="center"/>
          </w:tcPr>
          <w:p w14:paraId="771863C5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640C900F">
            <w:pPr>
              <w:jc w:val="left"/>
            </w:pPr>
            <w:r>
              <w:t>恐慌衰减</w:t>
            </w:r>
          </w:p>
        </w:tc>
        <w:tc>
          <w:tcPr>
            <w:tcW w:w="1661" w:type="dxa"/>
            <w:vAlign w:val="center"/>
          </w:tcPr>
          <w:p w14:paraId="5CCB8976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2CA6512F">
            <w:pPr>
              <w:jc w:val="left"/>
            </w:pPr>
            <w:r>
              <w:t>卖压衰竭先行指标</w:t>
            </w:r>
          </w:p>
        </w:tc>
      </w:tr>
      <w:tr w14:paraId="6D1E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1BBD7A2">
            <w:pPr>
              <w:jc w:val="left"/>
            </w:pPr>
            <w:r>
              <w:t>基差-2.8%从-4%收窄</w:t>
            </w:r>
          </w:p>
        </w:tc>
        <w:tc>
          <w:tcPr>
            <w:tcW w:w="1661" w:type="dxa"/>
            <w:vAlign w:val="center"/>
          </w:tcPr>
          <w:p w14:paraId="5ACE70F5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6A8EC333">
            <w:pPr>
              <w:jc w:val="left"/>
            </w:pPr>
            <w:r>
              <w:t>做空退潮</w:t>
            </w:r>
          </w:p>
        </w:tc>
        <w:tc>
          <w:tcPr>
            <w:tcW w:w="1661" w:type="dxa"/>
            <w:vAlign w:val="center"/>
          </w:tcPr>
          <w:p w14:paraId="3209A38B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08A80284">
            <w:pPr>
              <w:jc w:val="left"/>
            </w:pPr>
            <w:r>
              <w:t>衍生品层面拐点</w:t>
            </w:r>
          </w:p>
        </w:tc>
      </w:tr>
      <w:tr w14:paraId="01CB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AFF88FE">
            <w:pPr>
              <w:jc w:val="left"/>
            </w:pPr>
            <w:r>
              <w:t>10Y国债期货持仓连增3周</w:t>
            </w:r>
          </w:p>
        </w:tc>
        <w:tc>
          <w:tcPr>
            <w:tcW w:w="1661" w:type="dxa"/>
            <w:vAlign w:val="center"/>
          </w:tcPr>
          <w:p w14:paraId="43E32D51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2ABCC011">
            <w:pPr>
              <w:jc w:val="left"/>
            </w:pPr>
            <w:r>
              <w:t>降息预期集中</w:t>
            </w:r>
          </w:p>
        </w:tc>
        <w:tc>
          <w:tcPr>
            <w:tcW w:w="1661" w:type="dxa"/>
            <w:vAlign w:val="center"/>
          </w:tcPr>
          <w:p w14:paraId="096D6C85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6F7A678C">
            <w:pPr>
              <w:jc w:val="left"/>
            </w:pPr>
            <w:r>
              <w:t>机构行为确认</w:t>
            </w:r>
          </w:p>
        </w:tc>
      </w:tr>
      <w:tr w14:paraId="4AFD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B06EEB4">
            <w:pPr>
              <w:jc w:val="left"/>
            </w:pPr>
            <w:r>
              <w:t>北向-287亿</w:t>
            </w:r>
          </w:p>
        </w:tc>
        <w:tc>
          <w:tcPr>
            <w:tcW w:w="1661" w:type="dxa"/>
            <w:vAlign w:val="center"/>
          </w:tcPr>
          <w:p w14:paraId="4F67879F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7C8F5667">
            <w:pPr>
              <w:jc w:val="left"/>
            </w:pPr>
            <w:r>
              <w:t>外资极度悲观</w:t>
            </w:r>
          </w:p>
        </w:tc>
        <w:tc>
          <w:tcPr>
            <w:tcW w:w="1661" w:type="dxa"/>
            <w:vAlign w:val="center"/>
          </w:tcPr>
          <w:p w14:paraId="71DD70CE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65173AE7">
            <w:pPr>
              <w:jc w:val="left"/>
            </w:pPr>
            <w:r>
              <w:t>极端流出=反转前提</w:t>
            </w:r>
          </w:p>
        </w:tc>
      </w:tr>
    </w:tbl>
    <w:p w14:paraId="25FF30E0">
      <w:pPr>
        <w:pStyle w:val="4"/>
      </w:pPr>
      <w:r>
        <w:rPr>
          <w:b/>
        </w:rPr>
        <w:t>预期差综合得分</w:t>
      </w:r>
      <w:r>
        <w:t>：+8/9（强多信号——三类预期差同向叠加，B类+C类强度最高）</w:t>
      </w:r>
    </w:p>
    <w:p w14:paraId="45897ECA">
      <w:pPr>
        <w:pStyle w:val="12"/>
      </w:pPr>
      <w:r>
        <w:t>核心逻辑：A类增长预期差即将翻转（降息触发→增长预期修复），B类政策预期差即将兑现（双政策触发），C类估值/情绪预期差已达极端（三重极端定价）。三类信号的时间差构成"预期差传导链"：C类已触发→B类即将触发→A类后续修复。</w:t>
      </w:r>
    </w:p>
    <w:p w14:paraId="7F819933">
      <w:pPr>
        <w:pBdr>
          <w:bottom w:val="single" w:color="auto" w:sz="8" w:space="0"/>
        </w:pBdr>
      </w:pPr>
    </w:p>
    <w:p w14:paraId="008C2BFA">
      <w:pPr>
        <w:pStyle w:val="6"/>
      </w:pPr>
      <w:r>
        <w:t>Layer 5：资产配置与权重输出</w:t>
      </w:r>
    </w:p>
    <w:p w14:paraId="72188DA0">
      <w:pPr>
        <w:pStyle w:val="4"/>
      </w:pPr>
      <w:r>
        <w:rPr>
          <w:b/>
        </w:rPr>
        <w:t>Beta基准权重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EBF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258D34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43876EAA">
            <w:pPr>
              <w:jc w:val="left"/>
            </w:pPr>
            <w:r>
              <w:t>权重</w:t>
            </w:r>
          </w:p>
        </w:tc>
        <w:tc>
          <w:tcPr>
            <w:tcW w:w="2768" w:type="dxa"/>
            <w:vAlign w:val="center"/>
          </w:tcPr>
          <w:p w14:paraId="189A7E6B">
            <w:pPr>
              <w:jc w:val="left"/>
            </w:pPr>
            <w:r>
              <w:t>依据</w:t>
            </w:r>
          </w:p>
        </w:tc>
      </w:tr>
      <w:tr w14:paraId="4FF8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9A9F631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1313A39E">
            <w:pPr>
              <w:jc w:val="left"/>
            </w:pPr>
            <w:r>
              <w:t>25%</w:t>
            </w:r>
          </w:p>
        </w:tc>
        <w:tc>
          <w:tcPr>
            <w:tcW w:w="2768" w:type="dxa"/>
            <w:vAlign w:val="center"/>
          </w:tcPr>
          <w:p w14:paraId="681E30EC">
            <w:pPr>
              <w:jc w:val="left"/>
            </w:pPr>
            <w:r>
              <w:t>衰退+通缩，Beta偏防守</w:t>
            </w:r>
          </w:p>
        </w:tc>
      </w:tr>
      <w:tr w14:paraId="0121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4F27B1F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0A82714A">
            <w:pPr>
              <w:jc w:val="left"/>
            </w:pPr>
            <w:r>
              <w:t>30%</w:t>
            </w:r>
          </w:p>
        </w:tc>
        <w:tc>
          <w:tcPr>
            <w:tcW w:w="2768" w:type="dxa"/>
            <w:vAlign w:val="center"/>
          </w:tcPr>
          <w:p w14:paraId="24C2A092">
            <w:pPr>
              <w:jc w:val="left"/>
            </w:pPr>
            <w:r>
              <w:t>通缩+降息预期</w:t>
            </w:r>
          </w:p>
        </w:tc>
      </w:tr>
      <w:tr w14:paraId="548B4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379C2F2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35D0475F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1722FE48">
            <w:pPr>
              <w:jc w:val="left"/>
            </w:pPr>
            <w:r>
              <w:t>衰退但降息临近</w:t>
            </w:r>
          </w:p>
        </w:tc>
      </w:tr>
      <w:tr w14:paraId="5320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02FB716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6FCB9382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19070460">
            <w:pPr>
              <w:jc w:val="left"/>
            </w:pPr>
            <w:r>
              <w:t>降息定价</w:t>
            </w:r>
          </w:p>
        </w:tc>
      </w:tr>
      <w:tr w14:paraId="7A68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68F7327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5CAF8ABF">
            <w:pPr>
              <w:jc w:val="left"/>
            </w:pPr>
            <w:r>
              <w:t>5%</w:t>
            </w:r>
          </w:p>
        </w:tc>
        <w:tc>
          <w:tcPr>
            <w:tcW w:w="2768" w:type="dxa"/>
            <w:vAlign w:val="center"/>
          </w:tcPr>
          <w:p w14:paraId="7827D659">
            <w:pPr>
              <w:jc w:val="left"/>
            </w:pPr>
            <w:r>
              <w:t>需求极弱</w:t>
            </w:r>
          </w:p>
        </w:tc>
      </w:tr>
      <w:tr w14:paraId="07A3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CA3945C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16BBD350">
            <w:pPr>
              <w:jc w:val="left"/>
            </w:pPr>
            <w:r>
              <w:t>10%</w:t>
            </w:r>
          </w:p>
        </w:tc>
        <w:tc>
          <w:tcPr>
            <w:tcW w:w="2768" w:type="dxa"/>
            <w:vAlign w:val="center"/>
          </w:tcPr>
          <w:p w14:paraId="14C3CDAF">
            <w:pPr>
              <w:jc w:val="left"/>
            </w:pPr>
            <w:r>
              <w:t>高波动前防御</w:t>
            </w:r>
          </w:p>
        </w:tc>
      </w:tr>
    </w:tbl>
    <w:p w14:paraId="03628AB1">
      <w:pPr>
        <w:pStyle w:val="4"/>
      </w:pPr>
      <w:r>
        <w:rPr>
          <w:b/>
        </w:rPr>
        <w:t>Alpha偏离调整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33F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1DF27AC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2CE59B21">
            <w:pPr>
              <w:jc w:val="left"/>
            </w:pPr>
            <w:r>
              <w:t>Alpha偏离</w:t>
            </w:r>
          </w:p>
        </w:tc>
        <w:tc>
          <w:tcPr>
            <w:tcW w:w="2768" w:type="dxa"/>
            <w:vAlign w:val="center"/>
          </w:tcPr>
          <w:p w14:paraId="471042FE">
            <w:pPr>
              <w:jc w:val="left"/>
            </w:pPr>
            <w:r>
              <w:t>原因</w:t>
            </w:r>
          </w:p>
        </w:tc>
      </w:tr>
      <w:tr w14:paraId="2A7EA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44E9451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28F26665">
            <w:pPr>
              <w:jc w:val="left"/>
            </w:pPr>
            <w:r>
              <w:t>+18%</w:t>
            </w:r>
          </w:p>
        </w:tc>
        <w:tc>
          <w:tcPr>
            <w:tcW w:w="2768" w:type="dxa"/>
            <w:vAlign w:val="center"/>
          </w:tcPr>
          <w:p w14:paraId="3E1D8C3F">
            <w:pPr>
              <w:jc w:val="left"/>
            </w:pPr>
            <w:r>
              <w:t>B+C类强预期差+估值极端+政策触发在即</w:t>
            </w:r>
          </w:p>
        </w:tc>
      </w:tr>
      <w:tr w14:paraId="0D1A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81958BF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04D16CFB">
            <w:pPr>
              <w:jc w:val="left"/>
            </w:pPr>
            <w:r>
              <w:t>+2%</w:t>
            </w:r>
          </w:p>
        </w:tc>
        <w:tc>
          <w:tcPr>
            <w:tcW w:w="2768" w:type="dxa"/>
            <w:vAlign w:val="center"/>
          </w:tcPr>
          <w:p w14:paraId="4E52192F">
            <w:pPr>
              <w:jc w:val="left"/>
            </w:pPr>
            <w:r>
              <w:t>降息预期但权益更优</w:t>
            </w:r>
          </w:p>
        </w:tc>
      </w:tr>
      <w:tr w14:paraId="338E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F4873C0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452C2926">
            <w:pPr>
              <w:jc w:val="left"/>
            </w:pPr>
            <w:r>
              <w:t>+5%</w:t>
            </w:r>
          </w:p>
        </w:tc>
        <w:tc>
          <w:tcPr>
            <w:tcW w:w="2768" w:type="dxa"/>
            <w:vAlign w:val="center"/>
          </w:tcPr>
          <w:p w14:paraId="0E01E948">
            <w:pPr>
              <w:jc w:val="left"/>
            </w:pPr>
            <w:r>
              <w:t>降息触发增长预期修复</w:t>
            </w:r>
          </w:p>
        </w:tc>
      </w:tr>
      <w:tr w14:paraId="33B0C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F42E7F4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21B40FAA">
            <w:pPr>
              <w:jc w:val="left"/>
            </w:pPr>
            <w:r>
              <w:t>+3%</w:t>
            </w:r>
          </w:p>
        </w:tc>
        <w:tc>
          <w:tcPr>
            <w:tcW w:w="2768" w:type="dxa"/>
            <w:vAlign w:val="center"/>
          </w:tcPr>
          <w:p w14:paraId="06BCDC87">
            <w:pPr>
              <w:jc w:val="left"/>
            </w:pPr>
            <w:r>
              <w:t>降息幅度预期差</w:t>
            </w:r>
          </w:p>
        </w:tc>
      </w:tr>
      <w:tr w14:paraId="1EB4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F2EF667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55A2C315">
            <w:pPr>
              <w:jc w:val="left"/>
            </w:pPr>
            <w:r>
              <w:t>-3%</w:t>
            </w:r>
          </w:p>
        </w:tc>
        <w:tc>
          <w:tcPr>
            <w:tcW w:w="2768" w:type="dxa"/>
            <w:vAlign w:val="center"/>
          </w:tcPr>
          <w:p w14:paraId="3F53F3C1">
            <w:pPr>
              <w:jc w:val="left"/>
            </w:pPr>
            <w:r>
              <w:t>需求极弱</w:t>
            </w:r>
          </w:p>
        </w:tc>
      </w:tr>
      <w:tr w14:paraId="04D3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9E54D0B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28220EBB">
            <w:pPr>
              <w:jc w:val="left"/>
            </w:pPr>
            <w:r>
              <w:t>-25%</w:t>
            </w:r>
          </w:p>
        </w:tc>
        <w:tc>
          <w:tcPr>
            <w:tcW w:w="2768" w:type="dxa"/>
            <w:vAlign w:val="center"/>
          </w:tcPr>
          <w:p w14:paraId="7F3EA088">
            <w:pPr>
              <w:jc w:val="left"/>
            </w:pPr>
            <w:r>
              <w:t>拐点前全仓信号</w:t>
            </w:r>
          </w:p>
        </w:tc>
      </w:tr>
    </w:tbl>
    <w:p w14:paraId="523D1A0F">
      <w:pPr>
        <w:pStyle w:val="4"/>
      </w:pPr>
      <w:r>
        <w:rPr>
          <w:b/>
        </w:rPr>
        <w:t>最终权重表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7DEF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2CE922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5A356B27">
            <w:pPr>
              <w:jc w:val="left"/>
            </w:pPr>
            <w:r>
              <w:t>Beta</w:t>
            </w:r>
          </w:p>
        </w:tc>
        <w:tc>
          <w:tcPr>
            <w:tcW w:w="2076" w:type="dxa"/>
            <w:vAlign w:val="center"/>
          </w:tcPr>
          <w:p w14:paraId="064B0343">
            <w:pPr>
              <w:jc w:val="left"/>
            </w:pPr>
            <w:r>
              <w:t>Alpha</w:t>
            </w:r>
          </w:p>
        </w:tc>
        <w:tc>
          <w:tcPr>
            <w:tcW w:w="2076" w:type="dxa"/>
            <w:vAlign w:val="center"/>
          </w:tcPr>
          <w:p w14:paraId="1A7D8CE0">
            <w:pPr>
              <w:jc w:val="left"/>
            </w:pPr>
            <w:r>
              <w:t>最终权重</w:t>
            </w:r>
          </w:p>
        </w:tc>
      </w:tr>
      <w:tr w14:paraId="50BE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C695AF4">
            <w:pPr>
              <w:jc w:val="left"/>
            </w:pPr>
            <w:r>
              <w:t>中国权益</w:t>
            </w:r>
          </w:p>
        </w:tc>
        <w:tc>
          <w:tcPr>
            <w:tcW w:w="2076" w:type="dxa"/>
            <w:vAlign w:val="center"/>
          </w:tcPr>
          <w:p w14:paraId="221209DD">
            <w:pPr>
              <w:jc w:val="left"/>
            </w:pPr>
            <w:r>
              <w:t>25%</w:t>
            </w:r>
          </w:p>
        </w:tc>
        <w:tc>
          <w:tcPr>
            <w:tcW w:w="2076" w:type="dxa"/>
            <w:vAlign w:val="center"/>
          </w:tcPr>
          <w:p w14:paraId="42210F9F">
            <w:pPr>
              <w:jc w:val="left"/>
            </w:pPr>
            <w:r>
              <w:t>+18%</w:t>
            </w:r>
          </w:p>
        </w:tc>
        <w:tc>
          <w:tcPr>
            <w:tcW w:w="2076" w:type="dxa"/>
            <w:vAlign w:val="center"/>
          </w:tcPr>
          <w:p w14:paraId="3CEC13EA">
            <w:pPr>
              <w:jc w:val="left"/>
            </w:pPr>
            <w:r>
              <w:rPr>
                <w:b/>
              </w:rPr>
              <w:t>43%</w:t>
            </w:r>
          </w:p>
        </w:tc>
      </w:tr>
      <w:tr w14:paraId="1497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F8DB2FF">
            <w:pPr>
              <w:jc w:val="left"/>
            </w:pPr>
            <w:r>
              <w:t>中国债券</w:t>
            </w:r>
          </w:p>
        </w:tc>
        <w:tc>
          <w:tcPr>
            <w:tcW w:w="2076" w:type="dxa"/>
            <w:vAlign w:val="center"/>
          </w:tcPr>
          <w:p w14:paraId="062940CA">
            <w:pPr>
              <w:jc w:val="left"/>
            </w:pPr>
            <w:r>
              <w:t>30%</w:t>
            </w:r>
          </w:p>
        </w:tc>
        <w:tc>
          <w:tcPr>
            <w:tcW w:w="2076" w:type="dxa"/>
            <w:vAlign w:val="center"/>
          </w:tcPr>
          <w:p w14:paraId="2262D892">
            <w:pPr>
              <w:jc w:val="left"/>
            </w:pPr>
            <w:r>
              <w:t>+2%</w:t>
            </w:r>
          </w:p>
        </w:tc>
        <w:tc>
          <w:tcPr>
            <w:tcW w:w="2076" w:type="dxa"/>
            <w:vAlign w:val="center"/>
          </w:tcPr>
          <w:p w14:paraId="24CCEAFB">
            <w:pPr>
              <w:jc w:val="left"/>
            </w:pPr>
            <w:r>
              <w:rPr>
                <w:b/>
              </w:rPr>
              <w:t>32%</w:t>
            </w:r>
          </w:p>
        </w:tc>
      </w:tr>
      <w:tr w14:paraId="22EB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2799BF9">
            <w:pPr>
              <w:jc w:val="left"/>
            </w:pPr>
            <w:r>
              <w:t>美国权益</w:t>
            </w:r>
          </w:p>
        </w:tc>
        <w:tc>
          <w:tcPr>
            <w:tcW w:w="2076" w:type="dxa"/>
            <w:vAlign w:val="center"/>
          </w:tcPr>
          <w:p w14:paraId="38D924E7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695BC7B9">
            <w:pPr>
              <w:jc w:val="left"/>
            </w:pPr>
            <w:r>
              <w:t>+5%</w:t>
            </w:r>
          </w:p>
        </w:tc>
        <w:tc>
          <w:tcPr>
            <w:tcW w:w="2076" w:type="dxa"/>
            <w:vAlign w:val="center"/>
          </w:tcPr>
          <w:p w14:paraId="591B92FC">
            <w:pPr>
              <w:jc w:val="left"/>
            </w:pPr>
            <w:r>
              <w:rPr>
                <w:b/>
              </w:rPr>
              <w:t>20%</w:t>
            </w:r>
          </w:p>
        </w:tc>
      </w:tr>
      <w:tr w14:paraId="4FEF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AB9AFA0">
            <w:pPr>
              <w:jc w:val="left"/>
            </w:pPr>
            <w:r>
              <w:t>美国债券</w:t>
            </w:r>
          </w:p>
        </w:tc>
        <w:tc>
          <w:tcPr>
            <w:tcW w:w="2076" w:type="dxa"/>
            <w:vAlign w:val="center"/>
          </w:tcPr>
          <w:p w14:paraId="5F3C6F20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18954156">
            <w:pPr>
              <w:jc w:val="left"/>
            </w:pPr>
            <w:r>
              <w:t>+3%</w:t>
            </w:r>
          </w:p>
        </w:tc>
        <w:tc>
          <w:tcPr>
            <w:tcW w:w="2076" w:type="dxa"/>
            <w:vAlign w:val="center"/>
          </w:tcPr>
          <w:p w14:paraId="37DE938F">
            <w:pPr>
              <w:jc w:val="left"/>
            </w:pPr>
            <w:r>
              <w:rPr>
                <w:b/>
              </w:rPr>
              <w:t>18%</w:t>
            </w:r>
          </w:p>
        </w:tc>
      </w:tr>
      <w:tr w14:paraId="5178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4B97D7E">
            <w:pPr>
              <w:jc w:val="left"/>
            </w:pPr>
            <w:r>
              <w:t>大宗商品</w:t>
            </w:r>
          </w:p>
        </w:tc>
        <w:tc>
          <w:tcPr>
            <w:tcW w:w="2076" w:type="dxa"/>
            <w:vAlign w:val="center"/>
          </w:tcPr>
          <w:p w14:paraId="0BC59E0B">
            <w:pPr>
              <w:jc w:val="left"/>
            </w:pPr>
            <w:r>
              <w:t>5%</w:t>
            </w:r>
          </w:p>
        </w:tc>
        <w:tc>
          <w:tcPr>
            <w:tcW w:w="2076" w:type="dxa"/>
            <w:vAlign w:val="center"/>
          </w:tcPr>
          <w:p w14:paraId="785EA006">
            <w:pPr>
              <w:jc w:val="left"/>
            </w:pPr>
            <w:r>
              <w:t>-3%</w:t>
            </w:r>
          </w:p>
        </w:tc>
        <w:tc>
          <w:tcPr>
            <w:tcW w:w="2076" w:type="dxa"/>
            <w:vAlign w:val="center"/>
          </w:tcPr>
          <w:p w14:paraId="4EE8B3BD">
            <w:pPr>
              <w:jc w:val="left"/>
            </w:pPr>
            <w:r>
              <w:rPr>
                <w:b/>
              </w:rPr>
              <w:t>2%</w:t>
            </w:r>
          </w:p>
        </w:tc>
      </w:tr>
      <w:tr w14:paraId="05FF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2EF12DA">
            <w:pPr>
              <w:jc w:val="left"/>
            </w:pPr>
            <w:r>
              <w:t>现金</w:t>
            </w:r>
          </w:p>
        </w:tc>
        <w:tc>
          <w:tcPr>
            <w:tcW w:w="2076" w:type="dxa"/>
            <w:vAlign w:val="center"/>
          </w:tcPr>
          <w:p w14:paraId="6B061302">
            <w:pPr>
              <w:jc w:val="left"/>
            </w:pPr>
            <w:r>
              <w:t>10%</w:t>
            </w:r>
          </w:p>
        </w:tc>
        <w:tc>
          <w:tcPr>
            <w:tcW w:w="2076" w:type="dxa"/>
            <w:vAlign w:val="center"/>
          </w:tcPr>
          <w:p w14:paraId="40043DB1">
            <w:pPr>
              <w:jc w:val="left"/>
            </w:pPr>
            <w:r>
              <w:t>-25%</w:t>
            </w:r>
          </w:p>
        </w:tc>
        <w:tc>
          <w:tcPr>
            <w:tcW w:w="2076" w:type="dxa"/>
            <w:vAlign w:val="center"/>
          </w:tcPr>
          <w:p w14:paraId="7016F8DF">
            <w:pPr>
              <w:jc w:val="left"/>
            </w:pPr>
            <w:r>
              <w:rPr>
                <w:b/>
              </w:rPr>
              <w:t>0%</w:t>
            </w:r>
          </w:p>
        </w:tc>
      </w:tr>
      <w:tr w14:paraId="58E0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1CD49ED">
            <w:pPr>
              <w:jc w:val="left"/>
            </w:pPr>
            <w:r>
              <w:t>去重调整</w:t>
            </w:r>
          </w:p>
        </w:tc>
        <w:tc>
          <w:tcPr>
            <w:tcW w:w="2076" w:type="dxa"/>
            <w:vAlign w:val="center"/>
          </w:tcPr>
          <w:p w14:paraId="0903296C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3C52BAE2">
            <w:pPr>
              <w:jc w:val="left"/>
            </w:pPr>
            <w:r>
              <w:t>-15%</w:t>
            </w:r>
          </w:p>
        </w:tc>
        <w:tc>
          <w:tcPr>
            <w:tcW w:w="2076" w:type="dxa"/>
            <w:vAlign w:val="center"/>
          </w:tcPr>
          <w:p w14:paraId="32BB2E9B">
            <w:pPr>
              <w:jc w:val="left"/>
            </w:pPr>
            <w:r>
              <w:rPr>
                <w:b/>
              </w:rPr>
              <w:t>-15%</w:t>
            </w:r>
          </w:p>
        </w:tc>
      </w:tr>
      <w:tr w14:paraId="2F67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52FC40F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076" w:type="dxa"/>
            <w:vAlign w:val="center"/>
          </w:tcPr>
          <w:p w14:paraId="1811B1B4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2076" w:type="dxa"/>
            <w:vAlign w:val="center"/>
          </w:tcPr>
          <w:p w14:paraId="70C7EF80">
            <w:pPr>
              <w:jc w:val="left"/>
            </w:pPr>
            <w:r>
              <w:rPr>
                <w:b/>
              </w:rPr>
              <w:t>0</w:t>
            </w:r>
          </w:p>
        </w:tc>
        <w:tc>
          <w:tcPr>
            <w:tcW w:w="2076" w:type="dxa"/>
            <w:vAlign w:val="center"/>
          </w:tcPr>
          <w:p w14:paraId="4A6D8944"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 w14:paraId="0A54B56C">
      <w:pPr>
        <w:pStyle w:val="12"/>
      </w:pPr>
      <w:r>
        <w:t>注：原始加总115%，按比例缩减至100%。核心超配：中国权益+美国债券（降息双受益）。</w:t>
      </w:r>
    </w:p>
    <w:p w14:paraId="3944E65B">
      <w:pPr>
        <w:pStyle w:val="4"/>
      </w:pPr>
      <w:r>
        <w:rPr>
          <w:b/>
        </w:rPr>
        <w:t>行业配置建议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64A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7F71847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116D84E8">
            <w:pPr>
              <w:jc w:val="left"/>
            </w:pPr>
            <w:r>
              <w:t>行业</w:t>
            </w:r>
          </w:p>
        </w:tc>
        <w:tc>
          <w:tcPr>
            <w:tcW w:w="2768" w:type="dxa"/>
            <w:vAlign w:val="center"/>
          </w:tcPr>
          <w:p w14:paraId="26113E20">
            <w:pPr>
              <w:jc w:val="left"/>
            </w:pPr>
            <w:r>
              <w:t>逻辑</w:t>
            </w:r>
          </w:p>
        </w:tc>
      </w:tr>
      <w:tr w14:paraId="63E21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1F4C772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1671221D">
            <w:pPr>
              <w:jc w:val="left"/>
            </w:pPr>
            <w:r>
              <w:t>非银金融</w:t>
            </w:r>
          </w:p>
        </w:tc>
        <w:tc>
          <w:tcPr>
            <w:tcW w:w="2768" w:type="dxa"/>
            <w:vAlign w:val="center"/>
          </w:tcPr>
          <w:p w14:paraId="02AB421D">
            <w:pPr>
              <w:jc w:val="left"/>
            </w:pPr>
            <w:r>
              <w:t>政策发力直接受益+估值极低</w:t>
            </w:r>
          </w:p>
        </w:tc>
      </w:tr>
      <w:tr w14:paraId="665E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B718416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16B4866B">
            <w:pPr>
              <w:jc w:val="left"/>
            </w:pPr>
            <w:r>
              <w:t>科技成长</w:t>
            </w:r>
          </w:p>
        </w:tc>
        <w:tc>
          <w:tcPr>
            <w:tcW w:w="2768" w:type="dxa"/>
            <w:vAlign w:val="center"/>
          </w:tcPr>
          <w:p w14:paraId="4B1BAF17">
            <w:pPr>
              <w:jc w:val="left"/>
            </w:pPr>
            <w:r>
              <w:t>降息+流动性释放+弹性最大</w:t>
            </w:r>
          </w:p>
        </w:tc>
      </w:tr>
      <w:tr w14:paraId="03CE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78BC204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1517D28B">
            <w:pPr>
              <w:jc w:val="left"/>
            </w:pPr>
            <w:r>
              <w:t>核心消费</w:t>
            </w:r>
          </w:p>
        </w:tc>
        <w:tc>
          <w:tcPr>
            <w:tcW w:w="2768" w:type="dxa"/>
            <w:vAlign w:val="center"/>
          </w:tcPr>
          <w:p w14:paraId="5606D6C5">
            <w:pPr>
              <w:jc w:val="left"/>
            </w:pPr>
            <w:r>
              <w:t>通缩见底+政策刺激消费</w:t>
            </w:r>
          </w:p>
        </w:tc>
      </w:tr>
      <w:tr w14:paraId="7F40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1F9DD45">
            <w:pPr>
              <w:jc w:val="left"/>
            </w:pPr>
            <w:r>
              <w:t>标配</w:t>
            </w:r>
          </w:p>
        </w:tc>
        <w:tc>
          <w:tcPr>
            <w:tcW w:w="2768" w:type="dxa"/>
            <w:vAlign w:val="center"/>
          </w:tcPr>
          <w:p w14:paraId="7B27ADB5">
            <w:pPr>
              <w:jc w:val="left"/>
            </w:pPr>
            <w:r>
              <w:t>基建链</w:t>
            </w:r>
          </w:p>
        </w:tc>
        <w:tc>
          <w:tcPr>
            <w:tcW w:w="2768" w:type="dxa"/>
            <w:vAlign w:val="center"/>
          </w:tcPr>
          <w:p w14:paraId="0553F39F">
            <w:pPr>
              <w:jc w:val="left"/>
            </w:pPr>
            <w:r>
              <w:t>稳增长抓手但弹性有限</w:t>
            </w:r>
          </w:p>
        </w:tc>
      </w:tr>
      <w:tr w14:paraId="0816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830CF53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30703B86">
            <w:pPr>
              <w:jc w:val="left"/>
            </w:pPr>
            <w:r>
              <w:t>出口链</w:t>
            </w:r>
          </w:p>
        </w:tc>
        <w:tc>
          <w:tcPr>
            <w:tcW w:w="2768" w:type="dxa"/>
            <w:vAlign w:val="center"/>
          </w:tcPr>
          <w:p w14:paraId="57925BD2">
            <w:pPr>
              <w:jc w:val="left"/>
            </w:pPr>
            <w:r>
              <w:t>全球衰退+贸易摩擦</w:t>
            </w:r>
          </w:p>
        </w:tc>
      </w:tr>
      <w:tr w14:paraId="10EA3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60C57FF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68335490">
            <w:pPr>
              <w:jc w:val="left"/>
            </w:pPr>
            <w:r>
              <w:t>上游资源</w:t>
            </w:r>
          </w:p>
        </w:tc>
        <w:tc>
          <w:tcPr>
            <w:tcW w:w="2768" w:type="dxa"/>
            <w:vAlign w:val="center"/>
          </w:tcPr>
          <w:p w14:paraId="58BED7A3">
            <w:pPr>
              <w:jc w:val="left"/>
            </w:pPr>
            <w:r>
              <w:t>大宗需求极弱</w:t>
            </w:r>
          </w:p>
        </w:tc>
      </w:tr>
    </w:tbl>
    <w:p w14:paraId="6DD64855">
      <w:pPr>
        <w:pStyle w:val="4"/>
      </w:pPr>
      <w:r>
        <w:rPr>
          <w:b/>
        </w:rPr>
        <w:t>风险预算校验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7E0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E1947A7">
            <w:pPr>
              <w:jc w:val="left"/>
            </w:pPr>
            <w:r>
              <w:t>风险维度</w:t>
            </w:r>
          </w:p>
        </w:tc>
        <w:tc>
          <w:tcPr>
            <w:tcW w:w="2076" w:type="dxa"/>
            <w:vAlign w:val="center"/>
          </w:tcPr>
          <w:p w14:paraId="529B3821">
            <w:pPr>
              <w:jc w:val="left"/>
            </w:pPr>
            <w:r>
              <w:t>预算限额</w:t>
            </w:r>
          </w:p>
        </w:tc>
        <w:tc>
          <w:tcPr>
            <w:tcW w:w="2076" w:type="dxa"/>
            <w:vAlign w:val="center"/>
          </w:tcPr>
          <w:p w14:paraId="095BF6C7">
            <w:pPr>
              <w:jc w:val="left"/>
            </w:pPr>
            <w:r>
              <w:t>实际敞口</w:t>
            </w:r>
          </w:p>
        </w:tc>
        <w:tc>
          <w:tcPr>
            <w:tcW w:w="2076" w:type="dxa"/>
            <w:vAlign w:val="center"/>
          </w:tcPr>
          <w:p w14:paraId="3DD0E9D9">
            <w:pPr>
              <w:jc w:val="left"/>
            </w:pPr>
            <w:r>
              <w:t>是否合规</w:t>
            </w:r>
          </w:p>
        </w:tc>
      </w:tr>
      <w:tr w14:paraId="34629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E668ADC">
            <w:pPr>
              <w:jc w:val="left"/>
            </w:pPr>
            <w:r>
              <w:t>中国权益集中度</w:t>
            </w:r>
          </w:p>
        </w:tc>
        <w:tc>
          <w:tcPr>
            <w:tcW w:w="2076" w:type="dxa"/>
            <w:vAlign w:val="center"/>
          </w:tcPr>
          <w:p w14:paraId="285D63C9">
            <w:pPr>
              <w:jc w:val="left"/>
            </w:pPr>
            <w:r>
              <w:t>≤50%</w:t>
            </w:r>
          </w:p>
        </w:tc>
        <w:tc>
          <w:tcPr>
            <w:tcW w:w="2076" w:type="dxa"/>
            <w:vAlign w:val="center"/>
          </w:tcPr>
          <w:p w14:paraId="6149B00F">
            <w:pPr>
              <w:jc w:val="left"/>
            </w:pPr>
            <w:r>
              <w:t>43%</w:t>
            </w:r>
          </w:p>
        </w:tc>
        <w:tc>
          <w:tcPr>
            <w:tcW w:w="2076" w:type="dxa"/>
            <w:vAlign w:val="center"/>
          </w:tcPr>
          <w:p w14:paraId="324F3DCF">
            <w:pPr>
              <w:jc w:val="left"/>
            </w:pPr>
            <w:r>
              <w:t>合规</w:t>
            </w:r>
          </w:p>
        </w:tc>
      </w:tr>
      <w:tr w14:paraId="3756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7D3476F">
            <w:pPr>
              <w:jc w:val="left"/>
            </w:pPr>
            <w:r>
              <w:t>单一资产偏离</w:t>
            </w:r>
          </w:p>
        </w:tc>
        <w:tc>
          <w:tcPr>
            <w:tcW w:w="2076" w:type="dxa"/>
            <w:vAlign w:val="center"/>
          </w:tcPr>
          <w:p w14:paraId="0E9E259F">
            <w:pPr>
              <w:jc w:val="left"/>
            </w:pPr>
            <w:r>
              <w:t>≤20%</w:t>
            </w:r>
          </w:p>
        </w:tc>
        <w:tc>
          <w:tcPr>
            <w:tcW w:w="2076" w:type="dxa"/>
            <w:vAlign w:val="center"/>
          </w:tcPr>
          <w:p w14:paraId="177864AD">
            <w:pPr>
              <w:jc w:val="left"/>
            </w:pPr>
            <w:r>
              <w:t>最大+18%</w:t>
            </w:r>
          </w:p>
        </w:tc>
        <w:tc>
          <w:tcPr>
            <w:tcW w:w="2076" w:type="dxa"/>
            <w:vAlign w:val="center"/>
          </w:tcPr>
          <w:p w14:paraId="2BEBE484">
            <w:pPr>
              <w:jc w:val="left"/>
            </w:pPr>
            <w:r>
              <w:t>合规</w:t>
            </w:r>
          </w:p>
        </w:tc>
      </w:tr>
      <w:tr w14:paraId="05BC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201C03D">
            <w:pPr>
              <w:jc w:val="left"/>
            </w:pPr>
            <w:r>
              <w:t>尾部风险（VIX&gt;30）</w:t>
            </w:r>
          </w:p>
        </w:tc>
        <w:tc>
          <w:tcPr>
            <w:tcW w:w="2076" w:type="dxa"/>
            <w:vAlign w:val="center"/>
          </w:tcPr>
          <w:p w14:paraId="6F9FCB7E">
            <w:pPr>
              <w:jc w:val="left"/>
            </w:pPr>
            <w:r>
              <w:t>权益≤40%</w:t>
            </w:r>
          </w:p>
        </w:tc>
        <w:tc>
          <w:tcPr>
            <w:tcW w:w="2076" w:type="dxa"/>
            <w:vAlign w:val="center"/>
          </w:tcPr>
          <w:p w14:paraId="775F46C1">
            <w:pPr>
              <w:jc w:val="left"/>
            </w:pPr>
            <w:r>
              <w:t>当前63%（中+美）</w:t>
            </w:r>
          </w:p>
        </w:tc>
        <w:tc>
          <w:tcPr>
            <w:tcW w:w="2076" w:type="dxa"/>
            <w:vAlign w:val="center"/>
          </w:tcPr>
          <w:p w14:paraId="23779C12">
            <w:pPr>
              <w:jc w:val="left"/>
            </w:pPr>
            <w:r>
              <w:rPr>
                <w:b/>
              </w:rPr>
              <w:t>预警</w:t>
            </w:r>
          </w:p>
        </w:tc>
      </w:tr>
      <w:tr w14:paraId="7209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3394F57">
            <w:pPr>
              <w:jc w:val="left"/>
            </w:pPr>
            <w:r>
              <w:t>流动性缓冲</w:t>
            </w:r>
          </w:p>
        </w:tc>
        <w:tc>
          <w:tcPr>
            <w:tcW w:w="2076" w:type="dxa"/>
            <w:vAlign w:val="center"/>
          </w:tcPr>
          <w:p w14:paraId="34A2C66B">
            <w:pPr>
              <w:jc w:val="left"/>
            </w:pPr>
            <w:r>
              <w:t>现金+债券≥25%</w:t>
            </w:r>
          </w:p>
        </w:tc>
        <w:tc>
          <w:tcPr>
            <w:tcW w:w="2076" w:type="dxa"/>
            <w:vAlign w:val="center"/>
          </w:tcPr>
          <w:p w14:paraId="330466D2">
            <w:pPr>
              <w:jc w:val="left"/>
            </w:pPr>
            <w:r>
              <w:t>50%</w:t>
            </w:r>
          </w:p>
        </w:tc>
        <w:tc>
          <w:tcPr>
            <w:tcW w:w="2076" w:type="dxa"/>
            <w:vAlign w:val="center"/>
          </w:tcPr>
          <w:p w14:paraId="40ECC541">
            <w:pPr>
              <w:jc w:val="left"/>
            </w:pPr>
            <w:r>
              <w:t>合规</w:t>
            </w:r>
          </w:p>
        </w:tc>
      </w:tr>
    </w:tbl>
    <w:p w14:paraId="6D6E2A54">
      <w:pPr>
        <w:pStyle w:val="12"/>
      </w:pPr>
      <w:r>
        <w:t>风险提示：权益敞口63%远超40%上限，但基于B+C类强预期差信号+政策触发在即的判断，属于"战术性超配"。需设置止损规则：若1个月内政策未兑现（B类预期差证伪），权益仓位回调至40%以内。</w:t>
      </w:r>
    </w:p>
    <w:p w14:paraId="5E40FDEC">
      <w:pPr>
        <w:pBdr>
          <w:bottom w:val="single" w:color="auto" w:sz="8" w:space="0"/>
        </w:pBdr>
      </w:pPr>
    </w:p>
    <w:p w14:paraId="1DB0A233">
      <w:pPr>
        <w:pStyle w:val="6"/>
      </w:pPr>
      <w:r>
        <w:t>实际验证</w:t>
      </w:r>
    </w:p>
    <w:p w14:paraId="7B45D416">
      <w:pPr>
        <w:pStyle w:val="4"/>
      </w:pPr>
      <w:r>
        <w:t>2024年9月，上述6层流水线的前瞻信号得到验证：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4E6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6CEF658">
            <w:pPr>
              <w:jc w:val="left"/>
            </w:pPr>
            <w:r>
              <w:t>Layer</w:t>
            </w:r>
          </w:p>
        </w:tc>
        <w:tc>
          <w:tcPr>
            <w:tcW w:w="2768" w:type="dxa"/>
            <w:vAlign w:val="center"/>
          </w:tcPr>
          <w:p w14:paraId="5320E780">
            <w:pPr>
              <w:jc w:val="left"/>
            </w:pPr>
            <w:r>
              <w:t>前瞻信号</w:t>
            </w:r>
          </w:p>
        </w:tc>
        <w:tc>
          <w:tcPr>
            <w:tcW w:w="2768" w:type="dxa"/>
            <w:vAlign w:val="center"/>
          </w:tcPr>
          <w:p w14:paraId="3A6ED4D4">
            <w:pPr>
              <w:jc w:val="left"/>
            </w:pPr>
            <w:r>
              <w:t>实际验证</w:t>
            </w:r>
          </w:p>
        </w:tc>
      </w:tr>
      <w:tr w14:paraId="0E3A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EAC13C5">
            <w:pPr>
              <w:jc w:val="left"/>
            </w:pPr>
            <w:r>
              <w:t>Layer 0</w:t>
            </w:r>
          </w:p>
        </w:tc>
        <w:tc>
          <w:tcPr>
            <w:tcW w:w="2768" w:type="dxa"/>
            <w:vAlign w:val="center"/>
          </w:tcPr>
          <w:p w14:paraId="32068EF0">
            <w:pPr>
              <w:jc w:val="left"/>
            </w:pPr>
            <w:r>
              <w:t>政策外溢通道高压→一旦美联储转向将多条通道同步反转</w:t>
            </w:r>
          </w:p>
        </w:tc>
        <w:tc>
          <w:tcPr>
            <w:tcW w:w="2768" w:type="dxa"/>
            <w:vAlign w:val="center"/>
          </w:tcPr>
          <w:p w14:paraId="5387F4A3">
            <w:pPr>
              <w:jc w:val="left"/>
            </w:pPr>
            <w:r>
              <w:t>9月18日美联储降息50BP，政策外溢通道从高压→释放</w:t>
            </w:r>
          </w:p>
        </w:tc>
      </w:tr>
      <w:tr w14:paraId="6111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7C494CB">
            <w:pPr>
              <w:jc w:val="left"/>
            </w:pPr>
            <w:r>
              <w:t>Layer 1</w:t>
            </w:r>
          </w:p>
        </w:tc>
        <w:tc>
          <w:tcPr>
            <w:tcW w:w="2768" w:type="dxa"/>
            <w:vAlign w:val="center"/>
          </w:tcPr>
          <w:p w14:paraId="4C2AB31A">
            <w:pPr>
              <w:jc w:val="left"/>
            </w:pPr>
            <w:r>
              <w:t>美国CAI 2.0+FCI 4.4（紧缩极限）→转向在即</w:t>
            </w:r>
          </w:p>
        </w:tc>
        <w:tc>
          <w:tcPr>
            <w:tcW w:w="2768" w:type="dxa"/>
            <w:vAlign w:val="center"/>
          </w:tcPr>
          <w:p w14:paraId="4585CABF">
            <w:pPr>
              <w:jc w:val="left"/>
            </w:pPr>
            <w:r>
              <w:t>降息后FCI快速改善</w:t>
            </w:r>
          </w:p>
        </w:tc>
      </w:tr>
      <w:tr w14:paraId="63FB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EEF7A18">
            <w:pPr>
              <w:jc w:val="left"/>
            </w:pPr>
            <w:r>
              <w:t>Layer 2</w:t>
            </w:r>
          </w:p>
        </w:tc>
        <w:tc>
          <w:tcPr>
            <w:tcW w:w="2768" w:type="dxa"/>
            <w:vAlign w:val="center"/>
          </w:tcPr>
          <w:p w14:paraId="60772D3B">
            <w:pPr>
              <w:jc w:val="left"/>
            </w:pPr>
            <w:r>
              <w:t>双象限Ⅲ+政策维度即将反转</w:t>
            </w:r>
          </w:p>
        </w:tc>
        <w:tc>
          <w:tcPr>
            <w:tcW w:w="2768" w:type="dxa"/>
            <w:vAlign w:val="center"/>
          </w:tcPr>
          <w:p w14:paraId="04C5ECB4">
            <w:pPr>
              <w:jc w:val="left"/>
            </w:pPr>
            <w:r>
              <w:t>美国从Ⅲ→降息后向Ⅳ过渡，中国从Ⅲ→政策后向Ⅳ</w:t>
            </w:r>
          </w:p>
        </w:tc>
      </w:tr>
      <w:tr w14:paraId="5054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83BA0DF">
            <w:pPr>
              <w:jc w:val="left"/>
            </w:pPr>
            <w:r>
              <w:t>Layer 2.5</w:t>
            </w:r>
          </w:p>
        </w:tc>
        <w:tc>
          <w:tcPr>
            <w:tcW w:w="2768" w:type="dxa"/>
            <w:vAlign w:val="center"/>
          </w:tcPr>
          <w:p w14:paraId="2B8F7E3E">
            <w:pPr>
              <w:jc w:val="left"/>
            </w:pPr>
            <w:r>
              <w:t>政策差得分即将翻转→人民币转强</w:t>
            </w:r>
          </w:p>
        </w:tc>
        <w:tc>
          <w:tcPr>
            <w:tcW w:w="2768" w:type="dxa"/>
            <w:vAlign w:val="center"/>
          </w:tcPr>
          <w:p w14:paraId="36990E50">
            <w:pPr>
              <w:jc w:val="left"/>
            </w:pPr>
            <w:r>
              <w:t>降息后USD/CNH从7.16→7.0x区间</w:t>
            </w:r>
          </w:p>
        </w:tc>
      </w:tr>
      <w:tr w14:paraId="6DE2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27C643D">
            <w:pPr>
              <w:jc w:val="left"/>
            </w:pPr>
            <w:r>
              <w:t>Layer 3</w:t>
            </w:r>
          </w:p>
        </w:tc>
        <w:tc>
          <w:tcPr>
            <w:tcW w:w="2768" w:type="dxa"/>
            <w:vAlign w:val="center"/>
          </w:tcPr>
          <w:p w14:paraId="02D3BD1D">
            <w:pPr>
              <w:jc w:val="left"/>
            </w:pPr>
            <w:r>
              <w:t>三重极端定价（PE 9x+P/C回落+基差收窄）→强反转</w:t>
            </w:r>
          </w:p>
        </w:tc>
        <w:tc>
          <w:tcPr>
            <w:tcW w:w="2768" w:type="dxa"/>
            <w:vAlign w:val="center"/>
          </w:tcPr>
          <w:p w14:paraId="153348E5">
            <w:pPr>
              <w:jc w:val="left"/>
            </w:pPr>
            <w:r>
              <w:t>沪深300从低点涨30%+，估值快速修复</w:t>
            </w:r>
          </w:p>
        </w:tc>
      </w:tr>
      <w:tr w14:paraId="0396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15D3B65">
            <w:pPr>
              <w:jc w:val="left"/>
            </w:pPr>
            <w:r>
              <w:t>Layer 4</w:t>
            </w:r>
          </w:p>
        </w:tc>
        <w:tc>
          <w:tcPr>
            <w:tcW w:w="2768" w:type="dxa"/>
            <w:vAlign w:val="center"/>
          </w:tcPr>
          <w:p w14:paraId="05B8556A">
            <w:pPr>
              <w:jc w:val="left"/>
            </w:pPr>
            <w:r>
              <w:t>预期差综合+8/9，B+C类强信号→政策兑现触发反转</w:t>
            </w:r>
          </w:p>
        </w:tc>
        <w:tc>
          <w:tcPr>
            <w:tcW w:w="2768" w:type="dxa"/>
            <w:vAlign w:val="center"/>
          </w:tcPr>
          <w:p w14:paraId="6C39E305">
            <w:pPr>
              <w:jc w:val="left"/>
            </w:pPr>
            <w:r>
              <w:t>9月24日央行降准50BP+降息20BP+结构性工具，三类预期差集中兑现</w:t>
            </w:r>
          </w:p>
        </w:tc>
      </w:tr>
      <w:tr w14:paraId="243B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6E4B022">
            <w:pPr>
              <w:jc w:val="left"/>
            </w:pPr>
            <w:r>
              <w:t>Layer 5</w:t>
            </w:r>
          </w:p>
        </w:tc>
        <w:tc>
          <w:tcPr>
            <w:tcW w:w="2768" w:type="dxa"/>
            <w:vAlign w:val="center"/>
          </w:tcPr>
          <w:p w14:paraId="02964B97">
            <w:pPr>
              <w:jc w:val="left"/>
            </w:pPr>
            <w:r>
              <w:t>中国权益43%超配+非银/科技超配</w:t>
            </w:r>
          </w:p>
        </w:tc>
        <w:tc>
          <w:tcPr>
            <w:tcW w:w="2768" w:type="dxa"/>
            <w:vAlign w:val="center"/>
          </w:tcPr>
          <w:p w14:paraId="412572A7">
            <w:pPr>
              <w:jc w:val="left"/>
            </w:pPr>
            <w:r>
              <w:t>非银金融单周涨幅20%+，科技成长领涨</w:t>
            </w:r>
          </w:p>
        </w:tc>
      </w:tr>
    </w:tbl>
    <w:p w14:paraId="0B29731B">
      <w:pPr>
        <w:pStyle w:val="4"/>
      </w:pPr>
      <w:r>
        <w:rPr>
          <w:b/>
        </w:rPr>
        <w:t>验证结论</w:t>
      </w:r>
      <w:r>
        <w:t>：6层流水线在2024年8月成功发出前瞻拐点信号，核心传导路径为"Layer 2双触发→Layer 3极端定价→Layer 4 B+C类强预期差→Layer 5战术超配"。拐点后1个月内，沪深300涨幅30%+，完全验证了新框架的前瞻信号能力。</w:t>
      </w:r>
    </w:p>
    <w:p w14:paraId="03FC7B2B">
      <w:pPr>
        <w:pBdr>
          <w:bottom w:val="single" w:color="auto" w:sz="8" w:space="0"/>
        </w:pBdr>
      </w:pPr>
    </w:p>
    <w:p w14:paraId="642E9E59">
      <w:pPr>
        <w:pBdr>
          <w:bottom w:val="single" w:color="auto" w:sz="8" w:space="0"/>
        </w:pBdr>
      </w:pPr>
    </w:p>
    <w:p w14:paraId="71504AEB">
      <w:pPr>
        <w:pStyle w:val="10"/>
      </w:pPr>
      <w:r>
        <w:t>六、框架版本管理机制</w:t>
      </w:r>
    </w:p>
    <w:p w14:paraId="457AE6E9">
      <w:pPr>
        <w:pStyle w:val="6"/>
      </w:pPr>
      <w:r>
        <w:t>6.1 版本号命名规则</w:t>
      </w:r>
    </w:p>
    <w:p w14:paraId="17B03929">
      <w:pPr>
        <w:pStyle w:val="4"/>
      </w:pPr>
      <w:r>
        <w:t>框架采用三级版本号体系：</w:t>
      </w:r>
      <w:r>
        <w:rPr>
          <w:b/>
        </w:rPr>
        <w:t>主版本号.次版本号</w:t>
      </w:r>
      <w:r>
        <w:t>，格式为 VX.Y。</w:t>
      </w:r>
    </w:p>
    <w:p w14:paraId="4F60D010">
      <w:pPr>
        <w:pStyle w:val="4"/>
        <w:numPr>
          <w:ilvl w:val="0"/>
          <w:numId w:val="45"/>
        </w:numPr>
      </w:pPr>
      <w:r>
        <w:rPr>
          <w:b/>
        </w:rPr>
        <w:t>主版本号（X）</w:t>
      </w:r>
      <w:r>
        <w:t>：当框架发生公理体系变更、核心逻辑重构或阶段映射结构重组时递增。例如从 V1.x 升级至 V2.0，表示框架底层逻辑发生根本性调整。</w:t>
      </w:r>
    </w:p>
    <w:p w14:paraId="1A9728AC">
      <w:pPr>
        <w:pStyle w:val="4"/>
        <w:numPr>
          <w:ilvl w:val="0"/>
          <w:numId w:val="45"/>
        </w:numPr>
      </w:pPr>
      <w:r>
        <w:rPr>
          <w:b/>
        </w:rPr>
        <w:t>次版本号（Y）</w:t>
      </w:r>
      <w:r>
        <w:t>：当框架新增指标、模块或规则，但未改变公理体系与核心阶段映射结构时递增。例如从 V1.0 升级至 V1.1，表示增量扩展。</w:t>
      </w:r>
    </w:p>
    <w:p w14:paraId="612FB237">
      <w:pPr>
        <w:pStyle w:val="4"/>
      </w:pPr>
      <w:r>
        <w:t>版本号递增判定依据：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6CE7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16F38C70">
            <w:pPr>
              <w:jc w:val="left"/>
            </w:pPr>
            <w:r>
              <w:t>变更类型</w:t>
            </w:r>
          </w:p>
        </w:tc>
        <w:tc>
          <w:tcPr>
            <w:tcW w:w="4153" w:type="dxa"/>
            <w:vAlign w:val="center"/>
          </w:tcPr>
          <w:p w14:paraId="46D1B743">
            <w:pPr>
              <w:jc w:val="left"/>
            </w:pPr>
            <w:r>
              <w:t>版本号变更</w:t>
            </w:r>
          </w:p>
        </w:tc>
      </w:tr>
      <w:tr w14:paraId="2BAD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51D453A0">
            <w:pPr>
              <w:jc w:val="left"/>
            </w:pPr>
            <w:r>
              <w:t>新增/替换公理</w:t>
            </w:r>
          </w:p>
        </w:tc>
        <w:tc>
          <w:tcPr>
            <w:tcW w:w="4153" w:type="dxa"/>
            <w:vAlign w:val="center"/>
          </w:tcPr>
          <w:p w14:paraId="201838C8">
            <w:pPr>
              <w:jc w:val="left"/>
            </w:pPr>
            <w:r>
              <w:t>主版本号递增</w:t>
            </w:r>
          </w:p>
        </w:tc>
      </w:tr>
      <w:tr w14:paraId="6F43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4CFBD833">
            <w:pPr>
              <w:jc w:val="left"/>
            </w:pPr>
            <w:r>
              <w:t>阶段映射结构重组</w:t>
            </w:r>
          </w:p>
        </w:tc>
        <w:tc>
          <w:tcPr>
            <w:tcW w:w="4153" w:type="dxa"/>
            <w:vAlign w:val="center"/>
          </w:tcPr>
          <w:p w14:paraId="312C625D">
            <w:pPr>
              <w:jc w:val="left"/>
            </w:pPr>
            <w:r>
              <w:t>主版本号递增</w:t>
            </w:r>
          </w:p>
        </w:tc>
      </w:tr>
      <w:tr w14:paraId="0403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72EDECF6">
            <w:pPr>
              <w:jc w:val="left"/>
            </w:pPr>
            <w:r>
              <w:t>核心模块新增或重构</w:t>
            </w:r>
          </w:p>
        </w:tc>
        <w:tc>
          <w:tcPr>
            <w:tcW w:w="4153" w:type="dxa"/>
            <w:vAlign w:val="center"/>
          </w:tcPr>
          <w:p w14:paraId="50322DDC">
            <w:pPr>
              <w:jc w:val="left"/>
            </w:pPr>
            <w:r>
              <w:t>次版本号递增</w:t>
            </w:r>
          </w:p>
        </w:tc>
      </w:tr>
      <w:tr w14:paraId="5C32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37649C2">
            <w:pPr>
              <w:jc w:val="left"/>
            </w:pPr>
            <w:r>
              <w:t>指标/规则增量扩展</w:t>
            </w:r>
          </w:p>
        </w:tc>
        <w:tc>
          <w:tcPr>
            <w:tcW w:w="4153" w:type="dxa"/>
            <w:vAlign w:val="center"/>
          </w:tcPr>
          <w:p w14:paraId="0E2CBD3A">
            <w:pPr>
              <w:jc w:val="left"/>
            </w:pPr>
            <w:r>
              <w:t>次版本号递增</w:t>
            </w:r>
          </w:p>
        </w:tc>
      </w:tr>
      <w:tr w14:paraId="2F2F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055C2C6C">
            <w:pPr>
              <w:jc w:val="left"/>
            </w:pPr>
            <w:r>
              <w:t>文字表述修正、案例更新</w:t>
            </w:r>
          </w:p>
        </w:tc>
        <w:tc>
          <w:tcPr>
            <w:tcW w:w="4153" w:type="dxa"/>
            <w:vAlign w:val="center"/>
          </w:tcPr>
          <w:p w14:paraId="327ED482">
            <w:pPr>
              <w:jc w:val="left"/>
            </w:pPr>
            <w:r>
              <w:t>不递增，记录修订日期</w:t>
            </w:r>
          </w:p>
        </w:tc>
      </w:tr>
    </w:tbl>
    <w:p w14:paraId="75896B1B">
      <w:pPr>
        <w:pStyle w:val="6"/>
      </w:pPr>
      <w:r>
        <w:t>6.2 版本迭代触发条件</w:t>
      </w:r>
    </w:p>
    <w:p w14:paraId="3128E7C2">
      <w:pPr>
        <w:pStyle w:val="4"/>
      </w:pPr>
      <w:r>
        <w:t>框架版本迭代由以下任一条件触发：</w:t>
      </w:r>
    </w:p>
    <w:p w14:paraId="7A6263A8">
      <w:pPr>
        <w:pStyle w:val="4"/>
        <w:numPr>
          <w:ilvl w:val="0"/>
          <w:numId w:val="46"/>
        </w:numPr>
      </w:pPr>
      <w:r>
        <w:rPr>
          <w:b/>
        </w:rPr>
        <w:t>公理体系变更</w:t>
      </w:r>
      <w:r>
        <w:t>：新增、替换或合并公理，导致底层逻辑调整。</w:t>
      </w:r>
    </w:p>
    <w:p w14:paraId="1B7FE763">
      <w:pPr>
        <w:pStyle w:val="4"/>
        <w:numPr>
          <w:ilvl w:val="0"/>
          <w:numId w:val="46"/>
        </w:numPr>
      </w:pPr>
      <w:r>
        <w:rPr>
          <w:b/>
        </w:rPr>
        <w:t>指标体系扩展</w:t>
      </w:r>
      <w:r>
        <w:t>：新增关键宏观指标或市场指标，影响信号判定逻辑。</w:t>
      </w:r>
    </w:p>
    <w:p w14:paraId="495609B1">
      <w:pPr>
        <w:pStyle w:val="4"/>
        <w:numPr>
          <w:ilvl w:val="0"/>
          <w:numId w:val="46"/>
        </w:numPr>
      </w:pPr>
      <w:r>
        <w:rPr>
          <w:b/>
        </w:rPr>
        <w:t>规则量化升级</w:t>
      </w:r>
      <w:r>
        <w:t>：将模糊规则量化为明确阈值，或调整既有阈值区间。</w:t>
      </w:r>
    </w:p>
    <w:p w14:paraId="5196E141">
      <w:pPr>
        <w:pStyle w:val="4"/>
        <w:numPr>
          <w:ilvl w:val="0"/>
          <w:numId w:val="46"/>
        </w:numPr>
      </w:pPr>
      <w:r>
        <w:rPr>
          <w:b/>
        </w:rPr>
        <w:t>模块结构重组</w:t>
      </w:r>
      <w:r>
        <w:t>：新增独立模块、合并既有模块，或调整模块间依赖关系。</w:t>
      </w:r>
    </w:p>
    <w:p w14:paraId="07F3D3EC">
      <w:pPr>
        <w:pStyle w:val="4"/>
        <w:numPr>
          <w:ilvl w:val="0"/>
          <w:numId w:val="46"/>
        </w:numPr>
      </w:pPr>
      <w:r>
        <w:rPr>
          <w:b/>
        </w:rPr>
        <w:t>回测验证驱动</w:t>
      </w:r>
      <w:r>
        <w:t>：回测结果显示系统性偏差，需修正规则或参数。</w:t>
      </w:r>
    </w:p>
    <w:p w14:paraId="5111123F">
      <w:pPr>
        <w:pStyle w:val="4"/>
        <w:numPr>
          <w:ilvl w:val="0"/>
          <w:numId w:val="46"/>
        </w:numPr>
      </w:pPr>
      <w:r>
        <w:rPr>
          <w:b/>
        </w:rPr>
        <w:t>重大市场事件</w:t>
      </w:r>
      <w:r>
        <w:t>：出现框架未覆盖的极端市场情境，需补充规则（如黑天鹅事件分级）。</w:t>
      </w:r>
    </w:p>
    <w:p w14:paraId="7B70BD7E">
      <w:pPr>
        <w:pStyle w:val="4"/>
      </w:pPr>
      <w:r>
        <w:t>每次迭代须在变更日志中记录触发条件、变更内容及验证结论。</w:t>
      </w:r>
    </w:p>
    <w:p w14:paraId="5CB5B02F">
      <w:pPr>
        <w:pStyle w:val="6"/>
      </w:pPr>
      <w:r>
        <w:t>6.3 版本变更流程</w:t>
      </w:r>
    </w:p>
    <w:p w14:paraId="3F7B8554">
      <w:pPr>
        <w:pStyle w:val="4"/>
      </w:pPr>
      <w:r>
        <w:t>框架版本变更遵循以下标准流程：</w:t>
      </w:r>
    </w:p>
    <w:p w14:paraId="5F99B80E">
      <w:pPr>
        <w:pStyle w:val="4"/>
        <w:numPr>
          <w:ilvl w:val="0"/>
          <w:numId w:val="47"/>
        </w:numPr>
      </w:pPr>
      <w:r>
        <w:rPr>
          <w:b/>
        </w:rPr>
        <w:t>变更提案</w:t>
      </w:r>
      <w:r>
        <w:t>：由框架维护人发起，说明变更动机、涉及模块及预期影响范围。</w:t>
      </w:r>
    </w:p>
    <w:p w14:paraId="63CB21F0">
      <w:pPr>
        <w:pStyle w:val="4"/>
        <w:numPr>
          <w:ilvl w:val="0"/>
          <w:numId w:val="47"/>
        </w:numPr>
      </w:pPr>
      <w:r>
        <w:rPr>
          <w:b/>
        </w:rPr>
        <w:t>影响评估</w:t>
      </w:r>
      <w:r>
        <w:t>：逐项评估变更对现有公理、指标、规则及信号判定的影响，确认无逻辑冲突。</w:t>
      </w:r>
    </w:p>
    <w:p w14:paraId="7B686224">
      <w:pPr>
        <w:pStyle w:val="4"/>
        <w:numPr>
          <w:ilvl w:val="0"/>
          <w:numId w:val="47"/>
        </w:numPr>
      </w:pPr>
      <w:r>
        <w:rPr>
          <w:b/>
        </w:rPr>
        <w:t>草案编制</w:t>
      </w:r>
      <w:r>
        <w:t>：在副本文档中完成修改，标注变更位置，确保原文可追溯。</w:t>
      </w:r>
    </w:p>
    <w:p w14:paraId="2538EC71">
      <w:pPr>
        <w:pStyle w:val="4"/>
        <w:numPr>
          <w:ilvl w:val="0"/>
          <w:numId w:val="47"/>
        </w:numPr>
      </w:pPr>
      <w:r>
        <w:rPr>
          <w:b/>
        </w:rPr>
        <w:t>回测验证</w:t>
      </w:r>
      <w:r>
        <w:t>：对受影响模块进行回测，验证变更后信号的准确性与一致性。</w:t>
      </w:r>
    </w:p>
    <w:p w14:paraId="30EB4CAF">
      <w:pPr>
        <w:pStyle w:val="4"/>
        <w:numPr>
          <w:ilvl w:val="0"/>
          <w:numId w:val="47"/>
        </w:numPr>
      </w:pPr>
      <w:r>
        <w:rPr>
          <w:b/>
        </w:rPr>
        <w:t>审批发布</w:t>
      </w:r>
      <w:r>
        <w:t>：由框架负责人审批后，更新版本号并发布正式版。</w:t>
      </w:r>
    </w:p>
    <w:p w14:paraId="05A5BAB7">
      <w:pPr>
        <w:pStyle w:val="4"/>
        <w:numPr>
          <w:ilvl w:val="0"/>
          <w:numId w:val="47"/>
        </w:numPr>
      </w:pPr>
      <w:r>
        <w:rPr>
          <w:b/>
        </w:rPr>
        <w:t>存档归档</w:t>
      </w:r>
      <w:r>
        <w:t>：将前一版本全文存档，更新版本索引与变更日志。</w:t>
      </w:r>
    </w:p>
    <w:p w14:paraId="367751BC">
      <w:pPr>
        <w:pStyle w:val="4"/>
      </w:pPr>
      <w:r>
        <w:t>流程关键约束：</w:t>
      </w:r>
    </w:p>
    <w:p w14:paraId="3C67D065">
      <w:pPr>
        <w:pStyle w:val="4"/>
        <w:numPr>
          <w:ilvl w:val="0"/>
          <w:numId w:val="48"/>
        </w:numPr>
      </w:pPr>
      <w:r>
        <w:t>变更提案须在发布前完成回测验证，禁止未经回测的规则上线。</w:t>
      </w:r>
    </w:p>
    <w:p w14:paraId="2C04705A">
      <w:pPr>
        <w:pStyle w:val="4"/>
        <w:numPr>
          <w:ilvl w:val="0"/>
          <w:numId w:val="48"/>
        </w:numPr>
      </w:pPr>
      <w:r>
        <w:t>涉及公理变更的提案，须经框架负责人与核心研究员双重审批。</w:t>
      </w:r>
    </w:p>
    <w:p w14:paraId="7E9EB83F">
      <w:pPr>
        <w:pStyle w:val="4"/>
        <w:numPr>
          <w:ilvl w:val="0"/>
          <w:numId w:val="48"/>
        </w:numPr>
      </w:pPr>
      <w:r>
        <w:t>每次发布后，变更日志须同步更新，确保版本可追溯。</w:t>
      </w:r>
    </w:p>
    <w:p w14:paraId="12186D41">
      <w:pPr>
        <w:pStyle w:val="6"/>
      </w:pPr>
      <w:r>
        <w:t>6.4 版本存档与追溯</w:t>
      </w:r>
    </w:p>
    <w:p w14:paraId="3AC13CAB">
      <w:pPr>
        <w:pStyle w:val="4"/>
        <w:numPr>
          <w:ilvl w:val="0"/>
          <w:numId w:val="49"/>
        </w:numPr>
      </w:pPr>
      <w:r>
        <w:rPr>
          <w:b/>
        </w:rPr>
        <w:t>全文存档</w:t>
      </w:r>
      <w:r>
        <w:t>：每个历史版本保存完整 Markdown 文件，命名格式为 macro_framework_vX.Y.md，存放于版本存档目录。</w:t>
      </w:r>
    </w:p>
    <w:p w14:paraId="1DBA6198">
      <w:pPr>
        <w:pStyle w:val="4"/>
        <w:numPr>
          <w:ilvl w:val="0"/>
          <w:numId w:val="49"/>
        </w:numPr>
      </w:pPr>
      <w:r>
        <w:rPr>
          <w:b/>
        </w:rPr>
        <w:t>变更日志</w:t>
      </w:r>
      <w:r>
        <w:t>：当前版本文档内保留变更日志，记录每次版本迭代的核心变更。历史版本演进以摘要形式保留，当前版本变更日志详尽记录。</w:t>
      </w:r>
    </w:p>
    <w:p w14:paraId="766620D6">
      <w:pPr>
        <w:pStyle w:val="4"/>
        <w:numPr>
          <w:ilvl w:val="0"/>
          <w:numId w:val="49"/>
        </w:numPr>
      </w:pPr>
      <w:r>
        <w:rPr>
          <w:b/>
        </w:rPr>
        <w:t>版本索引</w:t>
      </w:r>
      <w:r>
        <w:t>：维护版本索引表，包含版本号、发布日期、核心变更概述及存档文件路径。</w:t>
      </w:r>
    </w:p>
    <w:p w14:paraId="708758B6">
      <w:pPr>
        <w:pStyle w:val="4"/>
        <w:numPr>
          <w:ilvl w:val="0"/>
          <w:numId w:val="49"/>
        </w:numPr>
      </w:pPr>
      <w:r>
        <w:rPr>
          <w:b/>
        </w:rPr>
        <w:t>可追溯性</w:t>
      </w:r>
      <w:r>
        <w:t>：任何规则或指标可通过变更日志回溯至其引入版本及原始变更提案。</w:t>
      </w:r>
    </w:p>
    <w:p w14:paraId="7BD11C52">
      <w:pPr>
        <w:pStyle w:val="6"/>
      </w:pPr>
      <w:r>
        <w:t>6.5 历史版本演进摘要（V1.0 → V1.3）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702F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74B96FC7">
            <w:pPr>
              <w:jc w:val="left"/>
            </w:pPr>
            <w:r>
              <w:t>版本</w:t>
            </w:r>
          </w:p>
        </w:tc>
        <w:tc>
          <w:tcPr>
            <w:tcW w:w="4153" w:type="dxa"/>
            <w:vAlign w:val="center"/>
          </w:tcPr>
          <w:p w14:paraId="340E7C2A">
            <w:pPr>
              <w:jc w:val="left"/>
            </w:pPr>
            <w:r>
              <w:t>核心变更</w:t>
            </w:r>
          </w:p>
        </w:tc>
      </w:tr>
      <w:tr w14:paraId="1C88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F49C077">
            <w:pPr>
              <w:jc w:val="left"/>
            </w:pPr>
            <w:r>
              <w:t>V1.0 → V1.1</w:t>
            </w:r>
          </w:p>
        </w:tc>
        <w:tc>
          <w:tcPr>
            <w:tcW w:w="4153" w:type="dxa"/>
            <w:vAlign w:val="center"/>
          </w:tcPr>
          <w:p w14:paraId="23F24110">
            <w:pPr>
              <w:jc w:val="left"/>
            </w:pPr>
            <w:r>
              <w:t>1. 新增10项指标（COMEX黄金/非农/失业率/M2/用电/货运/高技术制造业PMI/ISM服务业PMI）</w:t>
            </w:r>
            <w:r>
              <w:br w:type="textWrapping"/>
            </w:r>
            <w:r>
              <w:t>2. 六阶段映射从3类扩展为4类（扩张独立）</w:t>
            </w:r>
            <w:r>
              <w:br w:type="textWrapping"/>
            </w:r>
            <w:r>
              <w:t>3. 5项模糊规则量化（花旗意外指数阈值、核心CPI温和区间、强政策对冲标准、幅度达标口径、北向资金阈值）</w:t>
            </w:r>
            <w:r>
              <w:br w:type="textWrapping"/>
            </w:r>
            <w:r>
              <w:t>4. 新增信号衰减规则与风格轮动映射子表</w:t>
            </w:r>
            <w:r>
              <w:br w:type="textWrapping"/>
            </w:r>
            <w:r>
              <w:t>5. 新增黑天鹅事件分级量化及框架版本管理机制</w:t>
            </w:r>
          </w:p>
        </w:tc>
      </w:tr>
      <w:tr w14:paraId="2B50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EBD97D4">
            <w:pPr>
              <w:jc w:val="left"/>
            </w:pPr>
            <w:r>
              <w:t>V1.1 → V1.2</w:t>
            </w:r>
          </w:p>
        </w:tc>
        <w:tc>
          <w:tcPr>
            <w:tcW w:w="4153" w:type="dxa"/>
            <w:vAlign w:val="center"/>
          </w:tcPr>
          <w:p w14:paraId="676EF0BE">
            <w:pPr>
              <w:jc w:val="left"/>
            </w:pPr>
            <w:r>
              <w:t>1. 新增边际变化标记（↗/↘/—）</w:t>
            </w:r>
            <w:r>
              <w:br w:type="textWrapping"/>
            </w:r>
            <w:r>
              <w:t>2. 新增市场预期定价扫描（4项衍生品指标）</w:t>
            </w:r>
            <w:r>
              <w:br w:type="textWrapping"/>
            </w:r>
            <w:r>
              <w:t>3. 新增估值锚校验（P/E、P/B 百分位）</w:t>
            </w:r>
            <w:r>
              <w:br w:type="textWrapping"/>
            </w:r>
            <w:r>
              <w:t>4. 新增信号发布后跟踪规则（2周复核/3周降级）</w:t>
            </w:r>
            <w:r>
              <w:br w:type="textWrapping"/>
            </w:r>
            <w:r>
              <w:t>5. 新增政策预期打分卡（0-10分，≥7分触发前瞻信号）</w:t>
            </w:r>
          </w:p>
        </w:tc>
      </w:tr>
      <w:tr w14:paraId="20FB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170F7473">
            <w:pPr>
              <w:jc w:val="left"/>
            </w:pPr>
            <w:r>
              <w:t>V1.2 → V1.3</w:t>
            </w:r>
          </w:p>
        </w:tc>
        <w:tc>
          <w:tcPr>
            <w:tcW w:w="4153" w:type="dxa"/>
            <w:vAlign w:val="center"/>
          </w:tcPr>
          <w:p w14:paraId="7F53D568">
            <w:pPr>
              <w:jc w:val="left"/>
            </w:pPr>
            <w:r>
              <w:t>1. 新增第五公理：双市场联动公理</w:t>
            </w:r>
            <w:r>
              <w:br w:type="textWrapping"/>
            </w:r>
            <w:r>
              <w:t>2. 新增美国基本面独立模块</w:t>
            </w:r>
            <w:r>
              <w:br w:type="textWrapping"/>
            </w:r>
            <w:r>
              <w:t>3. 新增Sahm Rule衰退预警及6项补充指标（铜金比/IG信用利差/密歇根消费者信心/美国住宅开工/标普500 EPS增速/财新PMI）</w:t>
            </w:r>
            <w:r>
              <w:br w:type="textWrapping"/>
            </w:r>
            <w:r>
              <w:t>4. 行业景气映射模块替代风格轮动子表（含A股+美股行业轮动表+行业跟踪指标+量化评分公式）</w:t>
            </w:r>
            <w:r>
              <w:br w:type="textWrapping"/>
            </w:r>
            <w:r>
              <w:t>5. 信号优先级更新</w:t>
            </w:r>
          </w:p>
        </w:tc>
      </w:tr>
    </w:tbl>
    <w:p w14:paraId="45741843">
      <w:pPr>
        <w:pStyle w:val="6"/>
      </w:pPr>
      <w:r>
        <w:t>6.6 当前版本变更日志（V1.3 → V2.0）</w:t>
      </w:r>
    </w:p>
    <w:p w14:paraId="41A9FA90">
      <w:pPr>
        <w:pStyle w:val="4"/>
      </w:pPr>
      <w:r>
        <w:rPr>
          <w:b/>
        </w:rPr>
        <w:t>触发条件</w:t>
      </w:r>
      <w:r>
        <w:t>：五大公理合并精简、框架结构融合重构、案例体系全面更新。</w:t>
      </w:r>
    </w:p>
    <w:p w14:paraId="04D2DFC5">
      <w:pPr>
        <w:pStyle w:val="4"/>
      </w:pPr>
      <w:r>
        <w:rPr>
          <w:b/>
        </w:rPr>
        <w:t>核心变更</w:t>
      </w:r>
      <w: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22FC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4AB19F46">
            <w:pPr>
              <w:jc w:val="left"/>
            </w:pPr>
            <w:r>
              <w:t>变更项</w:t>
            </w:r>
          </w:p>
        </w:tc>
        <w:tc>
          <w:tcPr>
            <w:tcW w:w="4153" w:type="dxa"/>
            <w:vAlign w:val="center"/>
          </w:tcPr>
          <w:p w14:paraId="37B2903C">
            <w:pPr>
              <w:jc w:val="left"/>
            </w:pPr>
            <w:r>
              <w:t>变更内容</w:t>
            </w:r>
          </w:p>
        </w:tc>
      </w:tr>
      <w:tr w14:paraId="73FA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38CBD124">
            <w:pPr>
              <w:jc w:val="left"/>
            </w:pPr>
            <w:r>
              <w:t>公理合并</w:t>
            </w:r>
          </w:p>
        </w:tc>
        <w:tc>
          <w:tcPr>
            <w:tcW w:w="4153" w:type="dxa"/>
            <w:vAlign w:val="center"/>
          </w:tcPr>
          <w:p w14:paraId="0C457228">
            <w:pPr>
              <w:jc w:val="left"/>
            </w:pPr>
            <w:r>
              <w:t>原五大公理合并精简为四大公理，消除冗余表述，强化逻辑主线</w:t>
            </w:r>
          </w:p>
        </w:tc>
      </w:tr>
      <w:tr w14:paraId="5C44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44977CE9">
            <w:pPr>
              <w:jc w:val="left"/>
            </w:pPr>
            <w:r>
              <w:t>版本标签清理</w:t>
            </w:r>
          </w:p>
        </w:tc>
        <w:tc>
          <w:tcPr>
            <w:tcW w:w="4153" w:type="dxa"/>
            <w:vAlign w:val="center"/>
          </w:tcPr>
          <w:p w14:paraId="126AAFD1">
            <w:pPr>
              <w:jc w:val="left"/>
            </w:pPr>
            <w:r>
              <w:t>全文清除历史版本标签（"V1.1新增"、"V1.2修订"等），所有规则统一为当前版本标准表述</w:t>
            </w:r>
          </w:p>
        </w:tc>
      </w:tr>
      <w:tr w14:paraId="12F7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74863055">
            <w:pPr>
              <w:jc w:val="left"/>
            </w:pPr>
            <w:r>
              <w:t>模块结构重组</w:t>
            </w:r>
          </w:p>
        </w:tc>
        <w:tc>
          <w:tcPr>
            <w:tcW w:w="4153" w:type="dxa"/>
            <w:vAlign w:val="center"/>
          </w:tcPr>
          <w:p w14:paraId="27556D48">
            <w:pPr>
              <w:jc w:val="left"/>
            </w:pPr>
            <w:r>
              <w:t>重新梳理模块依赖关系，明确公理→指标→规则→信号的层级递进结构</w:t>
            </w:r>
          </w:p>
        </w:tc>
      </w:tr>
      <w:tr w14:paraId="4E25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614E05F1">
            <w:pPr>
              <w:jc w:val="left"/>
            </w:pPr>
            <w:r>
              <w:t>案例重写</w:t>
            </w:r>
          </w:p>
        </w:tc>
        <w:tc>
          <w:tcPr>
            <w:tcW w:w="4153" w:type="dxa"/>
            <w:vAlign w:val="center"/>
          </w:tcPr>
          <w:p w14:paraId="19DC366C">
            <w:pPr>
              <w:jc w:val="left"/>
            </w:pPr>
            <w:r>
              <w:t>全部案例重写为6层流水线流程格式（公理调用→指标扫描→规则匹配→信号判定→置信度评估→输出决策）</w:t>
            </w:r>
          </w:p>
        </w:tc>
      </w:tr>
      <w:tr w14:paraId="0CAB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914CB57">
            <w:pPr>
              <w:jc w:val="left"/>
            </w:pPr>
            <w:r>
              <w:t>历史日志精简</w:t>
            </w:r>
          </w:p>
        </w:tc>
        <w:tc>
          <w:tcPr>
            <w:tcW w:w="4153" w:type="dxa"/>
            <w:vAlign w:val="center"/>
          </w:tcPr>
          <w:p w14:paraId="6010518A">
            <w:pPr>
              <w:jc w:val="left"/>
            </w:pPr>
            <w:r>
              <w:t>将V1.0→V1.1、V1.1→V1.2、V1.2→V1.3三条独立变更日志合并为历史版本演进摘要表格，去除审批人、胜率变化等过程细节</w:t>
            </w:r>
          </w:p>
        </w:tc>
      </w:tr>
      <w:tr w14:paraId="1D2E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19764963">
            <w:pPr>
              <w:jc w:val="left"/>
            </w:pPr>
            <w:r>
              <w:t>版本管理流程更新</w:t>
            </w:r>
          </w:p>
        </w:tc>
        <w:tc>
          <w:tcPr>
            <w:tcW w:w="4153" w:type="dxa"/>
            <w:vAlign w:val="center"/>
          </w:tcPr>
          <w:p w14:paraId="350DEF7B">
            <w:pPr>
              <w:jc w:val="left"/>
            </w:pPr>
            <w:r>
              <w:t>6.3版本变更流程中"标注V1.1新增/V1.1修订等标记"改为"标注变更位置"，不再要求版本号标记</w:t>
            </w:r>
          </w:p>
        </w:tc>
      </w:tr>
      <w:tr w14:paraId="68D0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7A524C98">
            <w:pPr>
              <w:jc w:val="left"/>
            </w:pPr>
            <w:r>
              <w:t>语言风格统一</w:t>
            </w:r>
          </w:p>
        </w:tc>
        <w:tc>
          <w:tcPr>
            <w:tcW w:w="4153" w:type="dxa"/>
            <w:vAlign w:val="center"/>
          </w:tcPr>
          <w:p w14:paraId="3D81A4E4">
            <w:pPr>
              <w:jc w:val="left"/>
            </w:pPr>
            <w:r>
              <w:t>全文语言风格统一为V2.0规范表述，消除各历史版本遗留的表述差异</w:t>
            </w:r>
          </w:p>
        </w:tc>
      </w:tr>
    </w:tbl>
    <w:p w14:paraId="3F653E27">
      <w:pPr>
        <w:pStyle w:val="6"/>
      </w:pPr>
      <w:r>
        <w:t>6.7 当前版本变更日志（V3.0 → V3.1）</w:t>
      </w:r>
    </w:p>
    <w:p w14:paraId="1BCD7B40">
      <w:pPr>
        <w:pStyle w:val="4"/>
      </w:pPr>
      <w:r>
        <w:rPr>
          <w:b/>
        </w:rPr>
        <w:t>触发条件：</w:t>
      </w:r>
      <w:r>
        <w:t xml:space="preserve"> 反身性盲区识别——框架作为"执行大脑"缺少"观察大脑"，无法自检信号在共识拥挤与范式转移环境下的可靠性。</w:t>
      </w:r>
    </w:p>
    <w:p w14:paraId="68649462">
      <w:pPr>
        <w:pStyle w:val="4"/>
      </w:pPr>
      <w:r>
        <w:rPr>
          <w:b/>
        </w:rPr>
        <w:t>核心变更：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53"/>
        <w:gridCol w:w="4153"/>
      </w:tblGrid>
      <w:tr w14:paraId="6988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076A3F64">
            <w:pPr>
              <w:jc w:val="left"/>
            </w:pPr>
            <w:r>
              <w:t>变更项</w:t>
            </w:r>
          </w:p>
        </w:tc>
        <w:tc>
          <w:tcPr>
            <w:tcW w:w="4153" w:type="dxa"/>
            <w:vAlign w:val="center"/>
          </w:tcPr>
          <w:p w14:paraId="137522AE">
            <w:pPr>
              <w:jc w:val="left"/>
            </w:pPr>
            <w:r>
              <w:t>变更内容</w:t>
            </w:r>
          </w:p>
        </w:tc>
      </w:tr>
      <w:tr w14:paraId="0922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545F309F">
            <w:pPr>
              <w:jc w:val="left"/>
            </w:pPr>
            <w:r>
              <w:rPr>
                <w:b/>
              </w:rPr>
              <w:t>新增 Layer 4.5：反身性与元认知层</w:t>
            </w:r>
          </w:p>
        </w:tc>
        <w:tc>
          <w:tcPr>
            <w:tcW w:w="4153" w:type="dxa"/>
            <w:vAlign w:val="center"/>
          </w:tcPr>
          <w:p w14:paraId="2FCB3924">
            <w:pPr>
              <w:jc w:val="left"/>
            </w:pPr>
            <w:r>
              <w:t>在 Layer 4（预期差信号）与 Layer 5（资产配置）之间新增元认知层，包含反身性压力计（4.5.2）、范式稳定性监测（4.5.3）、人类最终裁决接口（4.5.4）、信号修正合成规则（4.5.5）</w:t>
            </w:r>
          </w:p>
        </w:tc>
      </w:tr>
      <w:tr w14:paraId="1482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77FDF4C9">
            <w:pPr>
              <w:jc w:val="left"/>
            </w:pPr>
            <w:r>
              <w:rPr>
                <w:b/>
              </w:rPr>
              <w:t>新增 4.6：逻辑生命周期与叙事共识度监控</w:t>
            </w:r>
          </w:p>
        </w:tc>
        <w:tc>
          <w:tcPr>
            <w:tcW w:w="4153" w:type="dxa"/>
            <w:vAlign w:val="center"/>
          </w:tcPr>
          <w:p w14:paraId="77909909">
            <w:pPr>
              <w:jc w:val="left"/>
            </w:pPr>
            <w:r>
              <w:t>在 Layer 4 内新增逻辑生命周期判定（萌芽→扩散→共识→透支→崩塌），当预期差信号方向与市场共识一致时自动降低信号强度</w:t>
            </w:r>
          </w:p>
        </w:tc>
      </w:tr>
      <w:tr w14:paraId="6BFD0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67CC6649">
            <w:pPr>
              <w:jc w:val="left"/>
            </w:pPr>
            <w:r>
              <w:rPr>
                <w:b/>
              </w:rPr>
              <w:t>新增 4.4.8：范式稳定性监测</w:t>
            </w:r>
          </w:p>
        </w:tc>
        <w:tc>
          <w:tcPr>
            <w:tcW w:w="4153" w:type="dxa"/>
            <w:vAlign w:val="center"/>
          </w:tcPr>
          <w:p w14:paraId="02D74AED">
            <w:pPr>
              <w:jc w:val="left"/>
            </w:pPr>
            <w:r>
              <w:t>跨资产相关性结构断裂、政策框架措辞质变、全球资本流动结构突变三大代理指标，范式转移时框架进入"观察模式"</w:t>
            </w:r>
          </w:p>
        </w:tc>
      </w:tr>
      <w:tr w14:paraId="131A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4E8EB005">
            <w:pPr>
              <w:jc w:val="left"/>
            </w:pPr>
            <w:r>
              <w:rPr>
                <w:b/>
              </w:rPr>
              <w:t>新增假设注册-追踪-验证机制</w:t>
            </w:r>
          </w:p>
        </w:tc>
        <w:tc>
          <w:tcPr>
            <w:tcW w:w="4153" w:type="dxa"/>
            <w:vAlign w:val="center"/>
          </w:tcPr>
          <w:p w14:paraId="020871E5">
            <w:pPr>
              <w:jc w:val="left"/>
            </w:pPr>
            <w:r>
              <w:t>3.5 节新增第 6 条，设立"观察池"通道允许新逻辑/新指标在不参与资金配置的前提下被追踪验证</w:t>
            </w:r>
          </w:p>
        </w:tc>
      </w:tr>
      <w:tr w14:paraId="1C7C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5F9DF039">
            <w:pPr>
              <w:jc w:val="left"/>
            </w:pPr>
            <w:r>
              <w:rPr>
                <w:b/>
              </w:rPr>
              <w:t>新增人类最终裁决接口</w:t>
            </w:r>
          </w:p>
        </w:tc>
        <w:tc>
          <w:tcPr>
            <w:tcW w:w="4153" w:type="dxa"/>
            <w:vAlign w:val="center"/>
          </w:tcPr>
          <w:p w14:paraId="2EA507B7">
            <w:pPr>
              <w:jc w:val="left"/>
            </w:pPr>
            <w:r>
              <w:t>反身性压力红色或范式转移触发时，自动暂停 Alpha 偏离，向人类呈现状态请求裁决</w:t>
            </w:r>
          </w:p>
        </w:tc>
      </w:tr>
      <w:tr w14:paraId="4421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4D7385A">
            <w:pPr>
              <w:jc w:val="left"/>
            </w:pPr>
            <w:r>
              <w:rPr>
                <w:b/>
              </w:rPr>
              <w:t>信号强度修正体系</w:t>
            </w:r>
          </w:p>
        </w:tc>
        <w:tc>
          <w:tcPr>
            <w:tcW w:w="4153" w:type="dxa"/>
            <w:vAlign w:val="center"/>
          </w:tcPr>
          <w:p w14:paraId="128F962E">
            <w:pPr>
              <w:jc w:val="left"/>
            </w:pPr>
            <w:r>
              <w:t>Layer 5 Alpha 偏离的计算基础从 Layer 4 初始强度改为 Layer 4.5 修正后强度（三重修正乘法合成）</w:t>
            </w:r>
          </w:p>
        </w:tc>
      </w:tr>
      <w:tr w14:paraId="78EB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02F169F6">
            <w:pPr>
              <w:jc w:val="left"/>
            </w:pPr>
            <w:r>
              <w:rPr>
                <w:b/>
              </w:rPr>
              <w:t>流水线架构升级</w:t>
            </w:r>
          </w:p>
        </w:tc>
        <w:tc>
          <w:tcPr>
            <w:tcW w:w="4153" w:type="dxa"/>
            <w:vAlign w:val="center"/>
          </w:tcPr>
          <w:p w14:paraId="5BACDCD9">
            <w:pPr>
              <w:jc w:val="left"/>
            </w:pPr>
            <w:r>
              <w:t>从 6 层流水线升级为 7 层流水线，所有数据流向描述同步更新</w:t>
            </w:r>
          </w:p>
        </w:tc>
      </w:tr>
      <w:tr w14:paraId="09CC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2A93D252">
            <w:pPr>
              <w:jc w:val="left"/>
            </w:pPr>
            <w:r>
              <w:rPr>
                <w:b/>
              </w:rPr>
              <w:t>信号输出模板扩展</w:t>
            </w:r>
          </w:p>
        </w:tc>
        <w:tc>
          <w:tcPr>
            <w:tcW w:w="4153" w:type="dxa"/>
            <w:vAlign w:val="center"/>
          </w:tcPr>
          <w:p w14:paraId="76B536EE">
            <w:pPr>
              <w:jc w:val="left"/>
            </w:pPr>
            <w:r>
              <w:t>标准化输出从 15 项扩展为 20 项，新增反身性压力计、范式稳定性、逻辑生命周期、信号修正汇总、人类裁决状态</w:t>
            </w:r>
          </w:p>
        </w:tc>
      </w:tr>
      <w:tr w14:paraId="2529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39B4CBD6">
            <w:pPr>
              <w:jc w:val="left"/>
            </w:pPr>
            <w:r>
              <w:rPr>
                <w:b/>
              </w:rPr>
              <w:t>V3.0 遗留 bug 修复</w:t>
            </w:r>
          </w:p>
        </w:tc>
        <w:tc>
          <w:tcPr>
            <w:tcW w:w="4153" w:type="dxa"/>
            <w:vAlign w:val="center"/>
          </w:tcPr>
          <w:p w14:paraId="5BF9D4F8">
            <w:pPr>
              <w:jc w:val="left"/>
            </w:pPr>
            <w:r>
              <w:t>修复 COMEX 黄金、社零、ISM Services PMI、Beta 基准黄金行的重复条目</w:t>
            </w:r>
          </w:p>
        </w:tc>
      </w:tr>
      <w:tr w14:paraId="203A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153" w:type="dxa"/>
            <w:vAlign w:val="center"/>
          </w:tcPr>
          <w:p w14:paraId="16D0F233">
            <w:pPr>
              <w:jc w:val="left"/>
            </w:pPr>
            <w:r>
              <w:rPr>
                <w:b/>
              </w:rPr>
              <w:t>信号来源汇总更新</w:t>
            </w:r>
          </w:p>
        </w:tc>
        <w:tc>
          <w:tcPr>
            <w:tcW w:w="4153" w:type="dxa"/>
            <w:vAlign w:val="center"/>
          </w:tcPr>
          <w:p w14:paraId="1DA287B6">
            <w:pPr>
              <w:jc w:val="left"/>
            </w:pPr>
            <w:r>
              <w:t>新增类型 F（元认知修正），信号总数约 23 个</w:t>
            </w:r>
          </w:p>
        </w:tc>
      </w:tr>
    </w:tbl>
    <w:p w14:paraId="0F120172"/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nsolas">
    <w:altName w:val="阿里巴巴普惠体 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阿里巴巴普惠体 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59CA4"/>
    <w:multiLevelType w:val="multilevel"/>
    <w:tmpl w:val="8E159CA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">
    <w:nsid w:val="96FE002B"/>
    <w:multiLevelType w:val="multilevel"/>
    <w:tmpl w:val="96FE00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">
    <w:nsid w:val="9D7C6288"/>
    <w:multiLevelType w:val="multilevel"/>
    <w:tmpl w:val="9D7C628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">
    <w:nsid w:val="BD7FD8DC"/>
    <w:multiLevelType w:val="multilevel"/>
    <w:tmpl w:val="BD7FD8D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DBE9759"/>
    <w:multiLevelType w:val="multilevel"/>
    <w:tmpl w:val="BDBE975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FDE5B3C"/>
    <w:multiLevelType w:val="multilevel"/>
    <w:tmpl w:val="BFDE5B3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FF7C67E"/>
    <w:multiLevelType w:val="multilevel"/>
    <w:tmpl w:val="BFF7C67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BFFF4573"/>
    <w:multiLevelType w:val="multilevel"/>
    <w:tmpl w:val="BFFF457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8">
    <w:nsid w:val="C5FF91D6"/>
    <w:multiLevelType w:val="multilevel"/>
    <w:tmpl w:val="C5FF91D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9">
    <w:nsid w:val="CBFFBB06"/>
    <w:multiLevelType w:val="multilevel"/>
    <w:tmpl w:val="CBFFBB0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0">
    <w:nsid w:val="CFED21EF"/>
    <w:multiLevelType w:val="multilevel"/>
    <w:tmpl w:val="CFED21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1">
    <w:nsid w:val="D5AE290D"/>
    <w:multiLevelType w:val="multilevel"/>
    <w:tmpl w:val="D5AE290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D69A2F26"/>
    <w:multiLevelType w:val="multilevel"/>
    <w:tmpl w:val="D69A2F2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3">
    <w:nsid w:val="DE66864F"/>
    <w:multiLevelType w:val="multilevel"/>
    <w:tmpl w:val="DE66864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DEFF2B1C"/>
    <w:multiLevelType w:val="multilevel"/>
    <w:tmpl w:val="DEFF2B1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DFB9FC38"/>
    <w:multiLevelType w:val="multilevel"/>
    <w:tmpl w:val="DFB9FC3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EDBE6BE1"/>
    <w:multiLevelType w:val="multilevel"/>
    <w:tmpl w:val="EDBE6BE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7">
    <w:nsid w:val="EEDD04C1"/>
    <w:multiLevelType w:val="multilevel"/>
    <w:tmpl w:val="EEDD04C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8">
    <w:nsid w:val="EEE6E497"/>
    <w:multiLevelType w:val="multilevel"/>
    <w:tmpl w:val="EEE6E49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9">
    <w:nsid w:val="EFF6FECD"/>
    <w:multiLevelType w:val="multilevel"/>
    <w:tmpl w:val="EFF6FEC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0">
    <w:nsid w:val="F2FF0EA0"/>
    <w:multiLevelType w:val="multilevel"/>
    <w:tmpl w:val="F2FF0EA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F70F39DA"/>
    <w:multiLevelType w:val="multilevel"/>
    <w:tmpl w:val="F70F39D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2">
    <w:nsid w:val="F77D1F35"/>
    <w:multiLevelType w:val="multilevel"/>
    <w:tmpl w:val="F77D1F3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nsid w:val="FAFF8108"/>
    <w:multiLevelType w:val="multilevel"/>
    <w:tmpl w:val="FAFF810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4">
    <w:nsid w:val="FBAF2AD8"/>
    <w:multiLevelType w:val="multilevel"/>
    <w:tmpl w:val="FBAF2AD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nsid w:val="FD3CE9F9"/>
    <w:multiLevelType w:val="multilevel"/>
    <w:tmpl w:val="FD3CE9F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6">
    <w:nsid w:val="FDF74E73"/>
    <w:multiLevelType w:val="multilevel"/>
    <w:tmpl w:val="FDF74E7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7">
    <w:nsid w:val="FDFBA3C7"/>
    <w:multiLevelType w:val="multilevel"/>
    <w:tmpl w:val="FDFBA3C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FE7A7007"/>
    <w:multiLevelType w:val="multilevel"/>
    <w:tmpl w:val="FE7A700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9">
    <w:nsid w:val="FF7D18B7"/>
    <w:multiLevelType w:val="multilevel"/>
    <w:tmpl w:val="FF7D18B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0">
    <w:nsid w:val="FF7E35D3"/>
    <w:multiLevelType w:val="multilevel"/>
    <w:tmpl w:val="FF7E35D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1">
    <w:nsid w:val="FF834949"/>
    <w:multiLevelType w:val="multilevel"/>
    <w:tmpl w:val="FF83494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FF9FE57B"/>
    <w:multiLevelType w:val="multilevel"/>
    <w:tmpl w:val="FF9FE5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3">
    <w:nsid w:val="FFDDC228"/>
    <w:multiLevelType w:val="multilevel"/>
    <w:tmpl w:val="FFDDC22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4">
    <w:nsid w:val="FFF7FA53"/>
    <w:multiLevelType w:val="multilevel"/>
    <w:tmpl w:val="FFF7FA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nsid w:val="1A3DE9B3"/>
    <w:multiLevelType w:val="multilevel"/>
    <w:tmpl w:val="1A3DE9B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6">
    <w:nsid w:val="251F2ED6"/>
    <w:multiLevelType w:val="multilevel"/>
    <w:tmpl w:val="251F2ED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7">
    <w:nsid w:val="2CDE1844"/>
    <w:multiLevelType w:val="multilevel"/>
    <w:tmpl w:val="2CDE184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8">
    <w:nsid w:val="4E7EB7B5"/>
    <w:multiLevelType w:val="multilevel"/>
    <w:tmpl w:val="4E7EB7B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9">
    <w:nsid w:val="668F91A3"/>
    <w:multiLevelType w:val="multilevel"/>
    <w:tmpl w:val="668F91A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0">
    <w:nsid w:val="6B9AB4E7"/>
    <w:multiLevelType w:val="multilevel"/>
    <w:tmpl w:val="6B9AB4E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nsid w:val="6E7FA7B1"/>
    <w:multiLevelType w:val="multilevel"/>
    <w:tmpl w:val="6E7FA7B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2">
    <w:nsid w:val="72AE9201"/>
    <w:multiLevelType w:val="multilevel"/>
    <w:tmpl w:val="72AE920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nsid w:val="76AB94B6"/>
    <w:multiLevelType w:val="multilevel"/>
    <w:tmpl w:val="76AB94B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4">
    <w:nsid w:val="77FB5AD3"/>
    <w:multiLevelType w:val="multilevel"/>
    <w:tmpl w:val="77FB5AD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5">
    <w:nsid w:val="77FCCBC2"/>
    <w:multiLevelType w:val="multilevel"/>
    <w:tmpl w:val="77FCCBC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6">
    <w:nsid w:val="7B4ED2C9"/>
    <w:multiLevelType w:val="multilevel"/>
    <w:tmpl w:val="7B4ED2C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>
    <w:nsid w:val="7BEF273A"/>
    <w:multiLevelType w:val="multilevel"/>
    <w:tmpl w:val="7BEF273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8">
    <w:nsid w:val="7EFE3E04"/>
    <w:multiLevelType w:val="multilevel"/>
    <w:tmpl w:val="7EFE3E0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num w:numId="1">
    <w:abstractNumId w:val="32"/>
  </w:num>
  <w:num w:numId="2">
    <w:abstractNumId w:val="18"/>
  </w:num>
  <w:num w:numId="3">
    <w:abstractNumId w:val="47"/>
  </w:num>
  <w:num w:numId="4">
    <w:abstractNumId w:val="33"/>
  </w:num>
  <w:num w:numId="5">
    <w:abstractNumId w:val="12"/>
  </w:num>
  <w:num w:numId="6">
    <w:abstractNumId w:val="21"/>
  </w:num>
  <w:num w:numId="7">
    <w:abstractNumId w:val="10"/>
  </w:num>
  <w:num w:numId="8">
    <w:abstractNumId w:val="7"/>
  </w:num>
  <w:num w:numId="9">
    <w:abstractNumId w:val="39"/>
  </w:num>
  <w:num w:numId="10">
    <w:abstractNumId w:val="19"/>
  </w:num>
  <w:num w:numId="11">
    <w:abstractNumId w:val="31"/>
  </w:num>
  <w:num w:numId="12">
    <w:abstractNumId w:val="37"/>
  </w:num>
  <w:num w:numId="13">
    <w:abstractNumId w:val="3"/>
  </w:num>
  <w:num w:numId="14">
    <w:abstractNumId w:val="30"/>
  </w:num>
  <w:num w:numId="15">
    <w:abstractNumId w:val="25"/>
  </w:num>
  <w:num w:numId="16">
    <w:abstractNumId w:val="45"/>
  </w:num>
  <w:num w:numId="17">
    <w:abstractNumId w:val="34"/>
  </w:num>
  <w:num w:numId="18">
    <w:abstractNumId w:val="11"/>
  </w:num>
  <w:num w:numId="19">
    <w:abstractNumId w:val="14"/>
  </w:num>
  <w:num w:numId="20">
    <w:abstractNumId w:val="26"/>
  </w:num>
  <w:num w:numId="21">
    <w:abstractNumId w:val="43"/>
  </w:num>
  <w:num w:numId="22">
    <w:abstractNumId w:val="48"/>
  </w:num>
  <w:num w:numId="23">
    <w:abstractNumId w:val="40"/>
  </w:num>
  <w:num w:numId="24">
    <w:abstractNumId w:val="0"/>
  </w:num>
  <w:num w:numId="25">
    <w:abstractNumId w:val="23"/>
  </w:num>
  <w:num w:numId="26">
    <w:abstractNumId w:val="20"/>
  </w:num>
  <w:num w:numId="27">
    <w:abstractNumId w:val="13"/>
  </w:num>
  <w:num w:numId="28">
    <w:abstractNumId w:val="42"/>
  </w:num>
  <w:num w:numId="29">
    <w:abstractNumId w:val="35"/>
  </w:num>
  <w:num w:numId="30">
    <w:abstractNumId w:val="6"/>
  </w:num>
  <w:num w:numId="31">
    <w:abstractNumId w:val="24"/>
  </w:num>
  <w:num w:numId="32">
    <w:abstractNumId w:val="15"/>
  </w:num>
  <w:num w:numId="33">
    <w:abstractNumId w:val="22"/>
  </w:num>
  <w:num w:numId="34">
    <w:abstractNumId w:val="9"/>
  </w:num>
  <w:num w:numId="35">
    <w:abstractNumId w:val="8"/>
  </w:num>
  <w:num w:numId="36">
    <w:abstractNumId w:val="46"/>
  </w:num>
  <w:num w:numId="37">
    <w:abstractNumId w:val="38"/>
  </w:num>
  <w:num w:numId="38">
    <w:abstractNumId w:val="2"/>
  </w:num>
  <w:num w:numId="39">
    <w:abstractNumId w:val="29"/>
  </w:num>
  <w:num w:numId="40">
    <w:abstractNumId w:val="16"/>
  </w:num>
  <w:num w:numId="41">
    <w:abstractNumId w:val="44"/>
  </w:num>
  <w:num w:numId="42">
    <w:abstractNumId w:val="36"/>
  </w:num>
  <w:num w:numId="43">
    <w:abstractNumId w:val="1"/>
  </w:num>
  <w:num w:numId="44">
    <w:abstractNumId w:val="41"/>
  </w:num>
  <w:num w:numId="45">
    <w:abstractNumId w:val="5"/>
  </w:num>
  <w:num w:numId="46">
    <w:abstractNumId w:val="17"/>
  </w:num>
  <w:num w:numId="47">
    <w:abstractNumId w:val="28"/>
  </w:num>
  <w:num w:numId="48">
    <w:abstractNumId w:val="4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FF5FC8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dPh-paragraph"/>
    <w:qFormat/>
    <w:uiPriority w:val="0"/>
    <w:pPr>
      <w:spacing w:before="60" w:after="60"/>
      <w:jc w:val="left"/>
    </w:pPr>
    <w:rPr>
      <w:rFonts w:asciiTheme="minorAscii" w:hAnsiTheme="minorHAnsi" w:eastAsiaTheme="minorEastAsia" w:cstheme="minorBidi"/>
      <w:kern w:val="2"/>
      <w:sz w:val="22"/>
      <w:szCs w:val="24"/>
      <w:lang w:val="en-US" w:eastAsia="zh-CN" w:bidi="ar-SA"/>
    </w:rPr>
  </w:style>
  <w:style w:type="paragraph" w:customStyle="1" w:styleId="5">
    <w:name w:val="MdPh-code_block"/>
    <w:qFormat/>
    <w:uiPriority w:val="0"/>
    <w:pPr>
      <w:jc w:val="left"/>
    </w:pPr>
    <w:rPr>
      <w:rFonts w:ascii="Consolas" w:eastAsia="微软雅黑" w:hAnsiTheme="minorHAnsi" w:cstheme="minorBidi"/>
      <w:kern w:val="2"/>
      <w:sz w:val="21"/>
      <w:szCs w:val="24"/>
      <w:lang w:val="en-US" w:eastAsia="zh-CN" w:bidi="ar-SA"/>
    </w:rPr>
  </w:style>
  <w:style w:type="paragraph" w:customStyle="1" w:styleId="6">
    <w:name w:val="MdPh-heading3"/>
    <w:qFormat/>
    <w:uiPriority w:val="0"/>
    <w:pPr>
      <w:keepNext/>
      <w:keepLines/>
      <w:spacing w:before="160" w:after="80"/>
      <w:jc w:val="left"/>
      <w:outlineLvl w:val="2"/>
    </w:pPr>
    <w:rPr>
      <w:rFonts w:asciiTheme="minorAscii" w:hAnsiTheme="minorHAnsi" w:eastAsiaTheme="minorEastAsia" w:cstheme="minorBidi"/>
      <w:kern w:val="2"/>
      <w:sz w:val="32"/>
      <w:szCs w:val="32"/>
      <w:lang w:val="en-US" w:eastAsia="zh-CN" w:bidi="ar-SA"/>
    </w:rPr>
  </w:style>
  <w:style w:type="paragraph" w:customStyle="1" w:styleId="7">
    <w:name w:val="MdPh-heading4"/>
    <w:qFormat/>
    <w:uiPriority w:val="0"/>
    <w:pPr>
      <w:keepNext/>
      <w:keepLines/>
      <w:spacing w:before="80" w:after="40"/>
      <w:jc w:val="left"/>
      <w:outlineLvl w:val="3"/>
    </w:pPr>
    <w:rPr>
      <w:rFonts w:asciiTheme="minorAscii" w:hAnsiTheme="minorHAnsi" w:eastAsiaTheme="minorEastAsia" w:cstheme="minorBidi"/>
      <w:kern w:val="2"/>
      <w:sz w:val="28"/>
      <w:szCs w:val="28"/>
      <w:lang w:val="en-US" w:eastAsia="zh-CN" w:bidi="ar-SA"/>
    </w:rPr>
  </w:style>
  <w:style w:type="paragraph" w:customStyle="1" w:styleId="8">
    <w:name w:val="MdPh-heading6"/>
    <w:qFormat/>
    <w:uiPriority w:val="0"/>
    <w:pPr>
      <w:keepNext/>
      <w:keepLines/>
      <w:spacing w:before="40"/>
      <w:jc w:val="left"/>
      <w:outlineLvl w:val="5"/>
    </w:pPr>
    <w:rPr>
      <w:rFonts w:asciiTheme="minorAscii" w:hAnsiTheme="minorHAnsi" w:eastAsiaTheme="minorEastAsia" w:cstheme="minorBidi"/>
      <w:b/>
      <w:bCs/>
      <w:kern w:val="2"/>
      <w:sz w:val="21"/>
      <w:szCs w:val="24"/>
      <w:lang w:val="en-US" w:eastAsia="zh-CN" w:bidi="ar-SA"/>
    </w:rPr>
  </w:style>
  <w:style w:type="paragraph" w:customStyle="1" w:styleId="9">
    <w:name w:val="MdPh-heading5"/>
    <w:qFormat/>
    <w:uiPriority w:val="0"/>
    <w:pPr>
      <w:keepNext/>
      <w:keepLines/>
      <w:spacing w:before="80" w:after="40"/>
      <w:jc w:val="left"/>
      <w:outlineLvl w:val="4"/>
    </w:pPr>
    <w:rPr>
      <w:rFonts w:asciiTheme="minorAsci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0">
    <w:name w:val="MdPh-heading2"/>
    <w:uiPriority w:val="0"/>
    <w:pPr>
      <w:keepNext/>
      <w:keepLines/>
      <w:spacing w:before="160" w:after="80"/>
      <w:jc w:val="left"/>
      <w:outlineLvl w:val="1"/>
    </w:pPr>
    <w:rPr>
      <w:rFonts w:asciiTheme="minorAscii" w:hAnsiTheme="minorHAnsi" w:eastAsiaTheme="minorEastAsia" w:cstheme="minorBidi"/>
      <w:kern w:val="2"/>
      <w:sz w:val="40"/>
      <w:szCs w:val="40"/>
      <w:lang w:val="en-US" w:eastAsia="zh-CN" w:bidi="ar-SA"/>
    </w:rPr>
  </w:style>
  <w:style w:type="paragraph" w:customStyle="1" w:styleId="11">
    <w:name w:val="MdPh-heading1"/>
    <w:qFormat/>
    <w:uiPriority w:val="0"/>
    <w:pPr>
      <w:keepNext/>
      <w:keepLines/>
      <w:spacing w:before="480" w:after="80"/>
      <w:jc w:val="left"/>
      <w:outlineLvl w:val="0"/>
    </w:pPr>
    <w:rPr>
      <w:rFonts w:asciiTheme="minorAscii" w:hAnsiTheme="minorHAnsi" w:eastAsiaTheme="minorEastAsia" w:cstheme="minorBidi"/>
      <w:kern w:val="48"/>
      <w:sz w:val="48"/>
      <w:szCs w:val="48"/>
      <w:lang w:val="en-US" w:eastAsia="zh-CN" w:bidi="ar-SA"/>
    </w:rPr>
  </w:style>
  <w:style w:type="paragraph" w:customStyle="1" w:styleId="12">
    <w:name w:val="MdPh-block_quote"/>
    <w:qFormat/>
    <w:uiPriority w:val="0"/>
    <w:pPr>
      <w:spacing w:before="60" w:after="60"/>
      <w:ind w:left="425" w:right="425"/>
      <w:jc w:val="both"/>
    </w:pPr>
    <w:rPr>
      <w:rFonts w:asciiTheme="minorAscii" w:hAnsiTheme="minorHAnsi" w:eastAsiaTheme="minorEastAsia" w:cstheme="minorBidi"/>
      <w:i/>
      <w:color w:val="5A5A5A"/>
      <w:kern w:val="2"/>
      <w:sz w:val="22"/>
      <w:szCs w:val="24"/>
      <w:lang w:val="en-US" w:eastAsia="zh-CN" w:bidi="ar-SA"/>
    </w:rPr>
  </w:style>
  <w:style w:type="character" w:customStyle="1" w:styleId="13">
    <w:name w:val="MdCh-link"/>
    <w:qFormat/>
    <w:uiPriority w:val="0"/>
    <w:rPr>
      <w:color w:val="1E6FFF"/>
      <w:u w:val="single"/>
    </w:rPr>
  </w:style>
  <w:style w:type="table" w:customStyle="1" w:styleId="14">
    <w:name w:val="MdTb-table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104</Pages>
  <TotalTime>2</TotalTime>
  <ScaleCrop>false</ScaleCrop>
  <LinksUpToDate>false</LinksUpToDate>
  <Application>WPS Office_12.8.2.1116_F1E327BC-269C-435d-A152-05C5408002CA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2026-05-14T00:21:00Z</dcterms:created>
  <dc:creator>uos</dc:creator>
  <cp:lastModifiedBy>uos</cp:lastModifiedBy>
  <dcterms:modified xsi:type="dcterms:W3CDTF">2026-05-13T16:25:17Z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2052-12.8.2.1116</vt:lpwstr>
  </property>
  <property fmtid="{D5CDD505-2E9C-101B-9397-08002B2CF9AE}" pid="3" name="ICV">
    <vt:lpwstr>1DFD74EAC983204E6D35046A8189ECCB_42</vt:lpwstr>
  </property>
</Properties>
</file>